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3D" w:rsidRDefault="00427C3D">
      <w:pPr>
        <w:widowControl w:val="0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District Court Of Appeal Of The State Of Florida</w:t>
      </w:r>
    </w:p>
    <w:p w:rsidR="00427C3D" w:rsidRDefault="00427C3D">
      <w:pPr>
        <w:widowControl w:val="0"/>
        <w:jc w:val="center"/>
        <w:rPr>
          <w:smallCaps/>
        </w:rPr>
      </w:pPr>
      <w:r>
        <w:rPr>
          <w:smallCaps/>
        </w:rPr>
        <w:t>Fourth District</w:t>
      </w:r>
    </w:p>
    <w:p w:rsidR="00427C3D" w:rsidRDefault="001A2DDE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January</w:t>
      </w:r>
      <w:r w:rsidR="00427C3D">
        <w:rPr>
          <w:i/>
          <w:iCs/>
          <w:sz w:val="22"/>
          <w:szCs w:val="22"/>
        </w:rPr>
        <w:t xml:space="preserve"> Term </w:t>
      </w:r>
      <w:r>
        <w:rPr>
          <w:i/>
          <w:iCs/>
          <w:sz w:val="22"/>
          <w:szCs w:val="22"/>
        </w:rPr>
        <w:t>2012</w:t>
      </w:r>
    </w:p>
    <w:p w:rsidR="00427C3D" w:rsidRDefault="00427C3D">
      <w:pPr>
        <w:widowControl w:val="0"/>
        <w:jc w:val="center"/>
      </w:pPr>
    </w:p>
    <w:p w:rsidR="00427C3D" w:rsidRDefault="001A2DDE">
      <w:pPr>
        <w:widowControl w:val="0"/>
        <w:jc w:val="center"/>
        <w:rPr>
          <w:b/>
        </w:rPr>
      </w:pPr>
      <w:r>
        <w:rPr>
          <w:b/>
        </w:rPr>
        <w:t>RICHARD C. ALTHOUSE</w:t>
      </w:r>
      <w:r w:rsidR="00427C3D">
        <w:rPr>
          <w:b/>
        </w:rPr>
        <w:t>,</w:t>
      </w:r>
    </w:p>
    <w:p w:rsidR="00427C3D" w:rsidRDefault="00427C3D">
      <w:pPr>
        <w:widowControl w:val="0"/>
        <w:jc w:val="center"/>
      </w:pPr>
      <w:r>
        <w:t>Appellant,</w:t>
      </w:r>
    </w:p>
    <w:p w:rsidR="00427C3D" w:rsidRDefault="00427C3D">
      <w:pPr>
        <w:widowControl w:val="0"/>
        <w:jc w:val="center"/>
      </w:pPr>
    </w:p>
    <w:p w:rsidR="00427C3D" w:rsidRDefault="00427C3D">
      <w:pPr>
        <w:widowControl w:val="0"/>
        <w:jc w:val="center"/>
      </w:pPr>
      <w:r>
        <w:t>v.</w:t>
      </w:r>
    </w:p>
    <w:p w:rsidR="00427C3D" w:rsidRDefault="00427C3D">
      <w:pPr>
        <w:widowControl w:val="0"/>
        <w:jc w:val="center"/>
      </w:pPr>
    </w:p>
    <w:p w:rsidR="00427C3D" w:rsidRDefault="001A2DDE">
      <w:pPr>
        <w:widowControl w:val="0"/>
        <w:jc w:val="center"/>
        <w:rPr>
          <w:b/>
        </w:rPr>
      </w:pPr>
      <w:r>
        <w:rPr>
          <w:b/>
        </w:rPr>
        <w:t>PALM BEACH COUNTY SHERIFF'S OFFICE</w:t>
      </w:r>
      <w:r w:rsidR="00427C3D">
        <w:rPr>
          <w:b/>
        </w:rPr>
        <w:t>,</w:t>
      </w:r>
    </w:p>
    <w:p w:rsidR="00427C3D" w:rsidRDefault="00427C3D">
      <w:pPr>
        <w:widowControl w:val="0"/>
        <w:jc w:val="center"/>
      </w:pPr>
      <w:r w:rsidRPr="00D8042F">
        <w:t>Appellee</w:t>
      </w:r>
      <w:r>
        <w:t>.</w:t>
      </w:r>
    </w:p>
    <w:p w:rsidR="00427C3D" w:rsidRDefault="00427C3D">
      <w:pPr>
        <w:widowControl w:val="0"/>
        <w:jc w:val="center"/>
      </w:pPr>
    </w:p>
    <w:p w:rsidR="00427C3D" w:rsidRDefault="00427C3D">
      <w:pPr>
        <w:widowControl w:val="0"/>
        <w:jc w:val="center"/>
      </w:pPr>
      <w:r>
        <w:t>No. 4D</w:t>
      </w:r>
      <w:r w:rsidR="001A2DDE">
        <w:t>11-1560</w:t>
      </w:r>
    </w:p>
    <w:p w:rsidR="00427C3D" w:rsidRDefault="00427C3D">
      <w:pPr>
        <w:widowControl w:val="0"/>
        <w:jc w:val="center"/>
      </w:pPr>
    </w:p>
    <w:p w:rsidR="00427C3D" w:rsidRDefault="00427C3D">
      <w:pPr>
        <w:widowControl w:val="0"/>
        <w:jc w:val="center"/>
      </w:pPr>
      <w:r>
        <w:t>[</w:t>
      </w:r>
      <w:r w:rsidR="0092002C">
        <w:t xml:space="preserve"> </w:t>
      </w:r>
      <w:r w:rsidR="00B86059">
        <w:t>May 30, 2012</w:t>
      </w:r>
      <w:r w:rsidR="0092002C">
        <w:t xml:space="preserve"> </w:t>
      </w:r>
      <w:r>
        <w:t>]</w:t>
      </w:r>
    </w:p>
    <w:p w:rsidR="00427C3D" w:rsidRDefault="00427C3D">
      <w:pPr>
        <w:widowControl w:val="0"/>
        <w:jc w:val="center"/>
      </w:pPr>
    </w:p>
    <w:p w:rsidR="00427C3D" w:rsidRDefault="001A2DDE">
      <w:pPr>
        <w:widowControl w:val="0"/>
        <w:rPr>
          <w:smallCaps/>
        </w:rPr>
      </w:pPr>
      <w:r>
        <w:rPr>
          <w:smallCaps/>
        </w:rPr>
        <w:t>Per Curiam.</w:t>
      </w:r>
    </w:p>
    <w:p w:rsidR="00427C3D" w:rsidRDefault="00427C3D">
      <w:pPr>
        <w:widowControl w:val="0"/>
        <w:rPr>
          <w:smallCaps/>
        </w:rPr>
      </w:pPr>
    </w:p>
    <w:p w:rsidR="00F51B5A" w:rsidRPr="007550BB" w:rsidRDefault="00F51B5A" w:rsidP="00F51B5A">
      <w:pPr>
        <w:ind w:firstLine="360"/>
        <w:jc w:val="both"/>
      </w:pPr>
      <w:r w:rsidRPr="007550BB">
        <w:t xml:space="preserve">Richard C. Althouse, </w:t>
      </w:r>
      <w:r w:rsidR="00E24AE3">
        <w:t>the petitioner below, appeals a circuit court</w:t>
      </w:r>
      <w:r w:rsidRPr="007550BB">
        <w:t xml:space="preserve"> order denying his petition for writ of mandamus</w:t>
      </w:r>
      <w:r w:rsidR="00E24AE3">
        <w:t>,</w:t>
      </w:r>
      <w:r w:rsidRPr="007550BB">
        <w:t xml:space="preserve"> in which he challenged the Palm Beach County Sheriff’s Office’s </w:t>
      </w:r>
      <w:r>
        <w:t xml:space="preserve">(PBCSO) </w:t>
      </w:r>
      <w:r w:rsidRPr="007550BB">
        <w:t xml:space="preserve">denial of his public records request. </w:t>
      </w:r>
      <w:r>
        <w:t xml:space="preserve"> </w:t>
      </w:r>
      <w:r w:rsidRPr="007550BB">
        <w:t>We affirm.</w:t>
      </w:r>
    </w:p>
    <w:p w:rsidR="00F51B5A" w:rsidRPr="007550BB" w:rsidRDefault="00F51B5A" w:rsidP="001D0258">
      <w:pPr>
        <w:jc w:val="both"/>
      </w:pPr>
    </w:p>
    <w:p w:rsidR="00F51B5A" w:rsidRDefault="00F51B5A" w:rsidP="00F51B5A">
      <w:pPr>
        <w:ind w:firstLine="360"/>
        <w:jc w:val="both"/>
      </w:pPr>
      <w:r w:rsidRPr="007550BB">
        <w:t xml:space="preserve">Althouse filed a request with </w:t>
      </w:r>
      <w:r>
        <w:t>PBCSO</w:t>
      </w:r>
      <w:r w:rsidRPr="007550BB">
        <w:t xml:space="preserve"> seeking “[a]ny and all public records” in an ongoing criminal investigation. </w:t>
      </w:r>
      <w:r>
        <w:t xml:space="preserve"> PBCSO</w:t>
      </w:r>
      <w:r w:rsidRPr="007550BB">
        <w:t xml:space="preserve"> denied his request, </w:t>
      </w:r>
      <w:r w:rsidR="00E24AE3">
        <w:t>asserting</w:t>
      </w:r>
      <w:r w:rsidRPr="007550BB">
        <w:t xml:space="preserve"> that there was a hold on the information because it pertained to an active homicide investigation and prosecution.</w:t>
      </w:r>
      <w:r>
        <w:t xml:space="preserve">  </w:t>
      </w:r>
      <w:r w:rsidRPr="007550BB">
        <w:t>Althouse filed a writ o</w:t>
      </w:r>
      <w:r w:rsidR="00E24AE3">
        <w:t>f mandamus with the circuit court</w:t>
      </w:r>
      <w:r w:rsidRPr="007550BB">
        <w:t xml:space="preserve"> and requested that the court compel </w:t>
      </w:r>
      <w:r>
        <w:t>PBCSO</w:t>
      </w:r>
      <w:r w:rsidRPr="007550BB">
        <w:t xml:space="preserve"> to provide him with the requested documents.</w:t>
      </w:r>
    </w:p>
    <w:p w:rsidR="00F51B5A" w:rsidRPr="007550BB" w:rsidRDefault="00F51B5A" w:rsidP="001D0258">
      <w:pPr>
        <w:jc w:val="both"/>
      </w:pPr>
    </w:p>
    <w:p w:rsidR="00F51B5A" w:rsidRDefault="00E24AE3" w:rsidP="00F51B5A">
      <w:pPr>
        <w:ind w:firstLine="360"/>
        <w:jc w:val="both"/>
      </w:pPr>
      <w:r>
        <w:t>At an evidentiary</w:t>
      </w:r>
      <w:r w:rsidR="00F51B5A" w:rsidRPr="007550BB">
        <w:t xml:space="preserve"> hearing</w:t>
      </w:r>
      <w:r>
        <w:t>,</w:t>
      </w:r>
      <w:r w:rsidR="00F51B5A" w:rsidRPr="007550BB">
        <w:t xml:space="preserve"> </w:t>
      </w:r>
      <w:r w:rsidR="00F51B5A">
        <w:t>PBCSO</w:t>
      </w:r>
      <w:r w:rsidR="00F51B5A" w:rsidRPr="007550BB">
        <w:t xml:space="preserve"> argued that </w:t>
      </w:r>
      <w:r w:rsidR="00F51B5A">
        <w:t xml:space="preserve">the records were part of an </w:t>
      </w:r>
      <w:r w:rsidR="00F51B5A" w:rsidRPr="007550BB">
        <w:t xml:space="preserve">active criminal </w:t>
      </w:r>
      <w:r w:rsidR="00F51B5A">
        <w:t>investigation, and</w:t>
      </w:r>
      <w:r>
        <w:t>,</w:t>
      </w:r>
      <w:r w:rsidR="00F51B5A">
        <w:t xml:space="preserve"> thus,</w:t>
      </w:r>
      <w:r w:rsidR="00F51B5A" w:rsidRPr="007550BB">
        <w:t xml:space="preserve"> exempt from the Florida Public Records Act.</w:t>
      </w:r>
      <w:r w:rsidR="00F51B5A">
        <w:t xml:space="preserve"> </w:t>
      </w:r>
      <w:r w:rsidR="00F51B5A" w:rsidRPr="007550BB">
        <w:t xml:space="preserve"> Althouse argued that some of the information may be exempt, but that </w:t>
      </w:r>
      <w:r w:rsidR="00F51B5A">
        <w:t>PBCSO</w:t>
      </w:r>
      <w:r w:rsidR="00F51B5A" w:rsidRPr="007550BB">
        <w:t xml:space="preserve"> was still required to provide him with redacted copies of the records. </w:t>
      </w:r>
      <w:r w:rsidR="00F51B5A">
        <w:t xml:space="preserve"> PBCSO</w:t>
      </w:r>
      <w:r w:rsidR="00F51B5A" w:rsidRPr="007550BB">
        <w:t xml:space="preserve"> </w:t>
      </w:r>
      <w:r w:rsidR="00F51B5A">
        <w:t>then discussed</w:t>
      </w:r>
      <w:r w:rsidR="00F51B5A" w:rsidRPr="007550BB">
        <w:t xml:space="preserve"> an </w:t>
      </w:r>
      <w:r w:rsidR="00F51B5A" w:rsidRPr="007550BB">
        <w:rPr>
          <w:i/>
        </w:rPr>
        <w:t>in camera</w:t>
      </w:r>
      <w:r w:rsidR="00F51B5A" w:rsidRPr="007550BB">
        <w:t xml:space="preserve"> inspection</w:t>
      </w:r>
      <w:r w:rsidR="00F51B5A">
        <w:t xml:space="preserve"> of the records</w:t>
      </w:r>
      <w:r w:rsidR="00F51B5A" w:rsidRPr="007550BB">
        <w:t xml:space="preserve">, but Althouse objected. </w:t>
      </w:r>
      <w:r w:rsidR="00F51B5A">
        <w:t xml:space="preserve"> </w:t>
      </w:r>
      <w:r w:rsidR="00F51B5A" w:rsidRPr="007550BB">
        <w:t xml:space="preserve">He did not want an </w:t>
      </w:r>
      <w:r w:rsidR="00F51B5A" w:rsidRPr="007550BB">
        <w:rPr>
          <w:i/>
        </w:rPr>
        <w:t>in camera</w:t>
      </w:r>
      <w:r w:rsidR="00F51B5A" w:rsidRPr="007550BB">
        <w:t xml:space="preserve"> inspection unless certain requirements were met, and he did not feel that an inspection would be necessary.</w:t>
      </w:r>
      <w:r w:rsidR="00F51B5A">
        <w:t xml:space="preserve">  </w:t>
      </w:r>
      <w:r w:rsidR="00F51B5A" w:rsidRPr="007550BB">
        <w:t xml:space="preserve">Ultimately, the trial court denied Althouse’s request. </w:t>
      </w:r>
      <w:r w:rsidR="00F51B5A">
        <w:t xml:space="preserve"> </w:t>
      </w:r>
      <w:r w:rsidR="00F51B5A" w:rsidRPr="007550BB">
        <w:t xml:space="preserve">The court found that </w:t>
      </w:r>
      <w:r w:rsidR="00F51B5A">
        <w:t>PBCSO</w:t>
      </w:r>
      <w:r w:rsidR="00F51B5A" w:rsidRPr="007550BB">
        <w:t xml:space="preserve"> could assert that the file “as a whole is exempt from production based on the active criminal investigation exemption.”</w:t>
      </w:r>
    </w:p>
    <w:p w:rsidR="00F51B5A" w:rsidRPr="007550BB" w:rsidRDefault="00F51B5A" w:rsidP="001D0258">
      <w:pPr>
        <w:jc w:val="both"/>
      </w:pPr>
    </w:p>
    <w:p w:rsidR="00F51B5A" w:rsidRPr="007550BB" w:rsidRDefault="00F51B5A" w:rsidP="00F51B5A">
      <w:pPr>
        <w:ind w:firstLine="360"/>
        <w:jc w:val="both"/>
      </w:pPr>
      <w:r w:rsidRPr="007550BB">
        <w:t xml:space="preserve">“The determination of whether something is a public record is a question of law subject to </w:t>
      </w:r>
      <w:r w:rsidRPr="007550BB">
        <w:rPr>
          <w:i/>
        </w:rPr>
        <w:t>de novo</w:t>
      </w:r>
      <w:r w:rsidRPr="007550BB">
        <w:t xml:space="preserve"> review and is determined on a case-by-</w:t>
      </w:r>
      <w:r w:rsidRPr="007550BB">
        <w:lastRenderedPageBreak/>
        <w:t xml:space="preserve">case basis.” </w:t>
      </w:r>
      <w:r>
        <w:t xml:space="preserve"> </w:t>
      </w:r>
      <w:r w:rsidRPr="007550BB">
        <w:rPr>
          <w:i/>
        </w:rPr>
        <w:t>Bent v. State</w:t>
      </w:r>
      <w:r w:rsidRPr="007550BB">
        <w:t xml:space="preserve">, 46 So. 3d 1047, 1049 (Fla. 4th DCA 2010) (citations omitted). </w:t>
      </w:r>
      <w:r>
        <w:t xml:space="preserve"> </w:t>
      </w:r>
      <w:r w:rsidRPr="007550BB">
        <w:t xml:space="preserve">Section 119.011(3)(a), Florida Statutes, defines criminal intelligence information as “information with respect to an identifiable person or group of persons collected by a criminal justice agency in an effort to anticipate, prevent, or monitor possible criminal activity.” </w:t>
      </w:r>
      <w:r>
        <w:t xml:space="preserve"> </w:t>
      </w:r>
      <w:r w:rsidRPr="007550BB">
        <w:t xml:space="preserve">Section 119.011(3)(b), Florida Statutes, defines criminal investigative information as “information with respect to an identifiable person or group of persons compiled by a criminal justice agency in the course of conducting a criminal investigation of a specific act or omission. . . .” </w:t>
      </w:r>
      <w:r w:rsidR="00601CD7">
        <w:t xml:space="preserve"> Such information is exempt from disclosure under Florida’s Public Record Laws.  </w:t>
      </w:r>
      <w:r w:rsidR="00601CD7">
        <w:rPr>
          <w:i/>
        </w:rPr>
        <w:t>See, e.g.</w:t>
      </w:r>
      <w:r w:rsidR="00601CD7">
        <w:t>,</w:t>
      </w:r>
      <w:r w:rsidR="00601CD7">
        <w:rPr>
          <w:i/>
        </w:rPr>
        <w:t xml:space="preserve"> Avila v. Miami-Dade Cnty.</w:t>
      </w:r>
      <w:r w:rsidR="00601CD7">
        <w:t xml:space="preserve">, 29 So. 3d 401, 405-06 (Fla. 3d DCA 2010). </w:t>
      </w:r>
    </w:p>
    <w:p w:rsidR="00F51B5A" w:rsidRPr="007550BB" w:rsidRDefault="00F51B5A" w:rsidP="001D0258">
      <w:pPr>
        <w:jc w:val="both"/>
      </w:pPr>
    </w:p>
    <w:p w:rsidR="00F51B5A" w:rsidRPr="007550BB" w:rsidRDefault="00F51B5A" w:rsidP="00F51B5A">
      <w:pPr>
        <w:ind w:firstLine="360"/>
        <w:jc w:val="both"/>
      </w:pPr>
      <w:r w:rsidRPr="007550BB">
        <w:t xml:space="preserve">In this case, the parties do not dispute that there is an ongoing criminal investigation. </w:t>
      </w:r>
      <w:r>
        <w:t xml:space="preserve"> </w:t>
      </w:r>
      <w:r w:rsidRPr="007550BB">
        <w:t xml:space="preserve">As such, the majority of </w:t>
      </w:r>
      <w:r w:rsidR="00E24AE3">
        <w:t xml:space="preserve">PBCSO’s </w:t>
      </w:r>
      <w:r w:rsidRPr="007550BB">
        <w:t xml:space="preserve">records may very well be exempt based upon the aforementioned statutes. </w:t>
      </w:r>
      <w:r>
        <w:t xml:space="preserve"> </w:t>
      </w:r>
      <w:r w:rsidRPr="007550BB">
        <w:t xml:space="preserve">However, </w:t>
      </w:r>
      <w:r w:rsidR="00E24AE3">
        <w:t xml:space="preserve">Althouse objected to an </w:t>
      </w:r>
      <w:r w:rsidR="00E24AE3" w:rsidRPr="00E24AE3">
        <w:rPr>
          <w:i/>
        </w:rPr>
        <w:t>in camera</w:t>
      </w:r>
      <w:r w:rsidR="00E24AE3">
        <w:t xml:space="preserve"> inspection of the records, thereby precluding the </w:t>
      </w:r>
      <w:r w:rsidRPr="007550BB">
        <w:t xml:space="preserve">trial court </w:t>
      </w:r>
      <w:r w:rsidR="00E24AE3">
        <w:t xml:space="preserve">from conducting an intelligent review of the documents. </w:t>
      </w:r>
      <w:r w:rsidR="00B94A6F">
        <w:t xml:space="preserve"> </w:t>
      </w:r>
      <w:r w:rsidR="00E24AE3">
        <w:t xml:space="preserve">It </w:t>
      </w:r>
      <w:r w:rsidRPr="007550BB">
        <w:t xml:space="preserve">is </w:t>
      </w:r>
      <w:r w:rsidR="00E24AE3">
        <w:t xml:space="preserve">thus </w:t>
      </w:r>
      <w:r w:rsidRPr="007550BB">
        <w:t xml:space="preserve">impossible to </w:t>
      </w:r>
      <w:r w:rsidR="00E24AE3">
        <w:t xml:space="preserve">ascertain which parts of the record, if any, </w:t>
      </w:r>
      <w:r w:rsidRPr="007550BB">
        <w:t>are available to the public</w:t>
      </w:r>
      <w:r w:rsidR="00E24AE3">
        <w:t>.</w:t>
      </w:r>
      <w:r>
        <w:t xml:space="preserve"> </w:t>
      </w:r>
      <w:r w:rsidRPr="007550BB">
        <w:t xml:space="preserve"> </w:t>
      </w:r>
      <w:r w:rsidRPr="007550BB">
        <w:rPr>
          <w:i/>
        </w:rPr>
        <w:t>See Walton v. Dugger</w:t>
      </w:r>
      <w:r w:rsidRPr="007550BB">
        <w:t>, 634 So. 2d 1059, 106</w:t>
      </w:r>
      <w:r w:rsidR="00B05B27">
        <w:t>1-62</w:t>
      </w:r>
      <w:r w:rsidRPr="007550BB">
        <w:t xml:space="preserve"> (Fla. 1993) (“When, as in the instant case, certain statutory exemptions are claimed by the party against whom the public records request has been filed or when doubt exists as to whether a particular document must be disclosed, the proper procedure is to furnish the documents to the trial judge for an </w:t>
      </w:r>
      <w:r w:rsidRPr="007550BB">
        <w:rPr>
          <w:i/>
        </w:rPr>
        <w:t>in camera</w:t>
      </w:r>
      <w:r w:rsidRPr="007550BB">
        <w:t xml:space="preserve"> inspection.”); </w:t>
      </w:r>
      <w:r w:rsidRPr="007550BB">
        <w:rPr>
          <w:i/>
        </w:rPr>
        <w:t xml:space="preserve">see also </w:t>
      </w:r>
      <w:r>
        <w:rPr>
          <w:i/>
        </w:rPr>
        <w:t>Envtl.</w:t>
      </w:r>
      <w:r w:rsidRPr="007550BB">
        <w:rPr>
          <w:i/>
        </w:rPr>
        <w:t xml:space="preserve"> Turf. Inc. v. Univ</w:t>
      </w:r>
      <w:r>
        <w:rPr>
          <w:i/>
        </w:rPr>
        <w:t>.</w:t>
      </w:r>
      <w:r w:rsidRPr="007550BB">
        <w:rPr>
          <w:i/>
        </w:rPr>
        <w:t xml:space="preserve"> of Fl</w:t>
      </w:r>
      <w:r>
        <w:rPr>
          <w:i/>
        </w:rPr>
        <w:t>a.</w:t>
      </w:r>
      <w:r w:rsidRPr="007550BB">
        <w:rPr>
          <w:i/>
        </w:rPr>
        <w:t xml:space="preserve"> Bd. of Trs</w:t>
      </w:r>
      <w:r w:rsidR="00576A3B">
        <w:rPr>
          <w:i/>
        </w:rPr>
        <w:t>.</w:t>
      </w:r>
      <w:r w:rsidRPr="007550BB">
        <w:t>, 37 Fla. L. Weekly D775 (Fla. 1st DCA Apr</w:t>
      </w:r>
      <w:r w:rsidR="00576A3B">
        <w:t>.</w:t>
      </w:r>
      <w:r w:rsidRPr="007550BB">
        <w:t xml:space="preserve"> 2, 2012) (“[A]n in-camera inspection is ‘generally the only way for a trial court to determine whether or not a claim of exemption applies.</w:t>
      </w:r>
      <w:r>
        <w:t xml:space="preserve">’ </w:t>
      </w:r>
      <w:r w:rsidRPr="007550BB">
        <w:t>”</w:t>
      </w:r>
      <w:r w:rsidR="00B94A6F">
        <w:t xml:space="preserve"> (quoting </w:t>
      </w:r>
      <w:r w:rsidR="00B94A6F">
        <w:rPr>
          <w:i/>
        </w:rPr>
        <w:t>Garrison v. Bailey</w:t>
      </w:r>
      <w:r w:rsidR="00B94A6F">
        <w:t>, 4 So. 3d 683, 684 (Fla. 1st DCA 2009))</w:t>
      </w:r>
      <w:r w:rsidRPr="007550BB">
        <w:t>).</w:t>
      </w:r>
    </w:p>
    <w:p w:rsidR="00F51B5A" w:rsidRPr="007550BB" w:rsidRDefault="00F51B5A" w:rsidP="001D0258">
      <w:pPr>
        <w:jc w:val="both"/>
      </w:pPr>
    </w:p>
    <w:p w:rsidR="00F51B5A" w:rsidRDefault="00E24AE3" w:rsidP="00F51B5A">
      <w:pPr>
        <w:ind w:firstLine="360"/>
        <w:jc w:val="both"/>
      </w:pPr>
      <w:r>
        <w:t>Usually</w:t>
      </w:r>
      <w:r w:rsidR="00F51B5A" w:rsidRPr="007550BB">
        <w:t xml:space="preserve">, the trial court’s failure to conduct an </w:t>
      </w:r>
      <w:r w:rsidR="00F51B5A" w:rsidRPr="007550BB">
        <w:rPr>
          <w:i/>
        </w:rPr>
        <w:t>in camera</w:t>
      </w:r>
      <w:r w:rsidR="00F51B5A" w:rsidRPr="007550BB">
        <w:t xml:space="preserve"> inspection of the record would constitute reversible error. </w:t>
      </w:r>
      <w:r w:rsidR="00F51B5A">
        <w:t xml:space="preserve"> </w:t>
      </w:r>
      <w:r w:rsidR="00F51B5A" w:rsidRPr="007550BB">
        <w:rPr>
          <w:i/>
        </w:rPr>
        <w:t>See Christy v. Palm Beach Cnty</w:t>
      </w:r>
      <w:r w:rsidR="00B94A6F">
        <w:rPr>
          <w:i/>
        </w:rPr>
        <w:t>.</w:t>
      </w:r>
      <w:r w:rsidR="00F51B5A" w:rsidRPr="007550BB">
        <w:rPr>
          <w:i/>
        </w:rPr>
        <w:t xml:space="preserve"> Sheriff’s Office</w:t>
      </w:r>
      <w:r w:rsidR="00F51B5A" w:rsidRPr="007550BB">
        <w:t xml:space="preserve">, 698 So. 2d 1365, </w:t>
      </w:r>
      <w:r w:rsidR="00F51B5A">
        <w:t>1368</w:t>
      </w:r>
      <w:r w:rsidR="00F51B5A" w:rsidRPr="007550BB">
        <w:t xml:space="preserve"> (Fla. 4th DCA 1997) (</w:t>
      </w:r>
      <w:r w:rsidR="00F51B5A">
        <w:t xml:space="preserve">holding that the trial court committed reversible error when it failed to conduct an </w:t>
      </w:r>
      <w:r w:rsidR="00F51B5A">
        <w:rPr>
          <w:i/>
        </w:rPr>
        <w:t xml:space="preserve">in camera </w:t>
      </w:r>
      <w:r w:rsidR="00F51B5A">
        <w:t xml:space="preserve">inspection of records, and remanding with directions that the court conduct an </w:t>
      </w:r>
      <w:r w:rsidR="00F51B5A">
        <w:rPr>
          <w:i/>
        </w:rPr>
        <w:t xml:space="preserve">in camera </w:t>
      </w:r>
      <w:r w:rsidR="00F51B5A">
        <w:t>inspection and determine what portion of the records are subject to disclosure</w:t>
      </w:r>
      <w:r w:rsidR="00F51B5A" w:rsidRPr="007550BB">
        <w:t xml:space="preserve">). </w:t>
      </w:r>
      <w:r w:rsidR="00F51B5A">
        <w:t xml:space="preserve"> </w:t>
      </w:r>
      <w:r w:rsidR="00F51B5A" w:rsidRPr="007550BB">
        <w:t xml:space="preserve">However, in this case, Althouse invited the trial court’s </w:t>
      </w:r>
      <w:r w:rsidR="00F51B5A">
        <w:t>ruling</w:t>
      </w:r>
      <w:r w:rsidR="00F51B5A" w:rsidRPr="007550BB">
        <w:t xml:space="preserve"> by arguing against an </w:t>
      </w:r>
      <w:r w:rsidR="00F51B5A" w:rsidRPr="007550BB">
        <w:rPr>
          <w:i/>
        </w:rPr>
        <w:t>in camera</w:t>
      </w:r>
      <w:r w:rsidR="00F51B5A" w:rsidRPr="007550BB">
        <w:t xml:space="preserve"> inspection and asserting that one would not be necessary. </w:t>
      </w:r>
      <w:r w:rsidR="00B94A6F">
        <w:t xml:space="preserve"> </w:t>
      </w:r>
      <w:r w:rsidR="00F51B5A" w:rsidRPr="007550BB">
        <w:rPr>
          <w:i/>
        </w:rPr>
        <w:t>See Held v. Held</w:t>
      </w:r>
      <w:r w:rsidR="00F51B5A" w:rsidRPr="007550BB">
        <w:t>, 617 So. 2d 358, 360 (Fla. 4th DCA 1993) (“A party cannot claim as error on appeal that which he invited or introduced below</w:t>
      </w:r>
      <w:r w:rsidR="00B94A6F">
        <w:t>.”</w:t>
      </w:r>
      <w:r w:rsidR="00F51B5A">
        <w:t xml:space="preserve"> </w:t>
      </w:r>
      <w:r w:rsidR="00B05B27" w:rsidRPr="007550BB">
        <w:t>(citations omitted</w:t>
      </w:r>
      <w:r w:rsidR="00576A3B">
        <w:t>)</w:t>
      </w:r>
      <w:r w:rsidR="00B05B27" w:rsidRPr="007550BB">
        <w:t>)</w:t>
      </w:r>
      <w:r w:rsidR="00B05B27">
        <w:t>.</w:t>
      </w:r>
      <w:r w:rsidR="00B05B27" w:rsidRPr="007550BB">
        <w:t xml:space="preserve"> </w:t>
      </w:r>
      <w:r w:rsidR="00F51B5A">
        <w:t xml:space="preserve"> The trial court was unable to determine what portions of the record were subject to disclosure without conducting an </w:t>
      </w:r>
      <w:r w:rsidR="00F51B5A">
        <w:rPr>
          <w:i/>
        </w:rPr>
        <w:lastRenderedPageBreak/>
        <w:t xml:space="preserve">in camera </w:t>
      </w:r>
      <w:r w:rsidR="00F51B5A">
        <w:t xml:space="preserve">review.  Under the facts and circumstances of this case, we are compelled to </w:t>
      </w:r>
      <w:r>
        <w:t>affirm the trial court’s ruling.</w:t>
      </w:r>
    </w:p>
    <w:p w:rsidR="00F51B5A" w:rsidRDefault="00F51B5A" w:rsidP="001D0258">
      <w:pPr>
        <w:jc w:val="both"/>
      </w:pPr>
    </w:p>
    <w:p w:rsidR="00427C3D" w:rsidRDefault="001A2DDE" w:rsidP="00F51B5A">
      <w:pPr>
        <w:widowControl w:val="0"/>
        <w:ind w:firstLine="360"/>
      </w:pPr>
      <w:r>
        <w:rPr>
          <w:i/>
        </w:rPr>
        <w:t>Affirmed.</w:t>
      </w:r>
    </w:p>
    <w:p w:rsidR="001A2DDE" w:rsidRDefault="001A2DDE">
      <w:pPr>
        <w:widowControl w:val="0"/>
      </w:pPr>
    </w:p>
    <w:p w:rsidR="001A2DDE" w:rsidRPr="001A2DDE" w:rsidRDefault="001A2DDE">
      <w:pPr>
        <w:widowControl w:val="0"/>
      </w:pPr>
      <w:r>
        <w:rPr>
          <w:smallCaps/>
        </w:rPr>
        <w:t xml:space="preserve">Taylor, Ciklin </w:t>
      </w:r>
      <w:r>
        <w:t xml:space="preserve">and </w:t>
      </w:r>
      <w:r>
        <w:rPr>
          <w:smallCaps/>
        </w:rPr>
        <w:t xml:space="preserve">Gerber, </w:t>
      </w:r>
      <w:r>
        <w:t>JJ., concur.</w:t>
      </w:r>
    </w:p>
    <w:p w:rsidR="00427C3D" w:rsidRDefault="00427C3D">
      <w:pPr>
        <w:widowControl w:val="0"/>
        <w:jc w:val="center"/>
      </w:pPr>
    </w:p>
    <w:p w:rsidR="00427C3D" w:rsidRDefault="00427C3D">
      <w:pPr>
        <w:widowControl w:val="0"/>
        <w:jc w:val="center"/>
        <w:rPr>
          <w:b/>
        </w:rPr>
      </w:pPr>
      <w:r>
        <w:rPr>
          <w:b/>
        </w:rPr>
        <w:t>*            *            *</w:t>
      </w:r>
    </w:p>
    <w:p w:rsidR="00427C3D" w:rsidRPr="003D77C5" w:rsidRDefault="00427C3D">
      <w:pPr>
        <w:widowControl w:val="0"/>
        <w:jc w:val="center"/>
      </w:pPr>
    </w:p>
    <w:p w:rsidR="00427C3D" w:rsidRPr="00E2352A" w:rsidRDefault="00427C3D">
      <w:pPr>
        <w:widowControl w:val="0"/>
        <w:ind w:firstLine="360"/>
        <w:jc w:val="both"/>
      </w:pPr>
      <w:r w:rsidRPr="00E2352A">
        <w:t xml:space="preserve">Appeal from the Circuit Court for the </w:t>
      </w:r>
      <w:r w:rsidR="001A2DDE">
        <w:t>Fifteenth Judicial Circuit, Palm Beach County</w:t>
      </w:r>
      <w:r w:rsidRPr="00E2352A">
        <w:t xml:space="preserve">; </w:t>
      </w:r>
      <w:r w:rsidR="001A2DDE">
        <w:t>Glenn D. Kelley</w:t>
      </w:r>
      <w:r w:rsidRPr="00E2352A">
        <w:t xml:space="preserve">, Judge; L.T. Case No. </w:t>
      </w:r>
      <w:r w:rsidR="001A2DDE">
        <w:t>502011CA001773XXXXMB</w:t>
      </w:r>
      <w:r w:rsidRPr="00E2352A">
        <w:t>.</w:t>
      </w:r>
    </w:p>
    <w:p w:rsidR="00427C3D" w:rsidRPr="00E2352A" w:rsidRDefault="00427C3D">
      <w:pPr>
        <w:widowControl w:val="0"/>
        <w:ind w:firstLine="360"/>
        <w:jc w:val="both"/>
      </w:pPr>
    </w:p>
    <w:p w:rsidR="00427C3D" w:rsidRPr="00E2352A" w:rsidRDefault="001A2DDE">
      <w:pPr>
        <w:widowControl w:val="0"/>
        <w:ind w:firstLine="360"/>
        <w:jc w:val="both"/>
      </w:pPr>
      <w:r>
        <w:t>Richard C. Althouse, West Palm Beach, pro se.</w:t>
      </w:r>
    </w:p>
    <w:p w:rsidR="00427C3D" w:rsidRPr="00E2352A" w:rsidRDefault="00427C3D">
      <w:pPr>
        <w:widowControl w:val="0"/>
        <w:ind w:firstLine="360"/>
        <w:jc w:val="both"/>
      </w:pPr>
    </w:p>
    <w:p w:rsidR="00427C3D" w:rsidRPr="00E2352A" w:rsidRDefault="001A2DDE">
      <w:pPr>
        <w:widowControl w:val="0"/>
        <w:ind w:firstLine="360"/>
        <w:jc w:val="both"/>
      </w:pPr>
      <w:r>
        <w:t>Fred H. Gelston, West Palm Beach, for appellee.</w:t>
      </w:r>
    </w:p>
    <w:p w:rsidR="00427C3D" w:rsidRDefault="00427C3D">
      <w:pPr>
        <w:widowControl w:val="0"/>
        <w:ind w:firstLine="360"/>
        <w:jc w:val="both"/>
      </w:pPr>
    </w:p>
    <w:p w:rsidR="00427C3D" w:rsidRDefault="00427C3D">
      <w:pPr>
        <w:widowControl w:val="0"/>
        <w:ind w:firstLine="360"/>
        <w:jc w:val="both"/>
        <w:rPr>
          <w:i/>
        </w:rPr>
      </w:pPr>
      <w:r>
        <w:rPr>
          <w:b/>
          <w:i/>
        </w:rPr>
        <w:t>Not final until disposition of timely filed motion for rehearing.</w:t>
      </w:r>
    </w:p>
    <w:p w:rsidR="001A2DDE" w:rsidRDefault="001A2DDE">
      <w:pPr>
        <w:widowControl w:val="0"/>
        <w:ind w:firstLine="360"/>
        <w:jc w:val="both"/>
      </w:pPr>
    </w:p>
    <w:p w:rsidR="00427C3D" w:rsidRDefault="00427C3D">
      <w:pPr>
        <w:widowControl w:val="0"/>
        <w:ind w:firstLine="360"/>
        <w:jc w:val="both"/>
      </w:pPr>
    </w:p>
    <w:sectPr w:rsidR="00427C3D" w:rsidSect="00EF4DC0">
      <w:footerReference w:type="default" r:id="rId6"/>
      <w:pgSz w:w="12240" w:h="15840" w:code="1"/>
      <w:pgMar w:top="1800" w:right="1800" w:bottom="1584" w:left="1800" w:header="1440" w:footer="86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B78" w:rsidRDefault="001F0B78">
      <w:r>
        <w:separator/>
      </w:r>
    </w:p>
  </w:endnote>
  <w:endnote w:type="continuationSeparator" w:id="0">
    <w:p w:rsidR="001F0B78" w:rsidRDefault="001F0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941808"/>
      <w:docPartObj>
        <w:docPartGallery w:val="Page Numbers (Bottom of Page)"/>
        <w:docPartUnique/>
      </w:docPartObj>
    </w:sdtPr>
    <w:sdtContent>
      <w:p w:rsidR="006346A0" w:rsidRDefault="00514E60">
        <w:pPr>
          <w:pStyle w:val="Footer"/>
          <w:jc w:val="center"/>
        </w:pPr>
        <w:r>
          <w:fldChar w:fldCharType="begin"/>
        </w:r>
        <w:r w:rsidR="006346A0">
          <w:instrText xml:space="preserve"> PAGE   \* MERGEFORMAT </w:instrText>
        </w:r>
        <w:r>
          <w:fldChar w:fldCharType="separate"/>
        </w:r>
        <w:r w:rsidR="00F25F63">
          <w:rPr>
            <w:noProof/>
          </w:rPr>
          <w:t>2</w:t>
        </w:r>
        <w:r>
          <w:fldChar w:fldCharType="end"/>
        </w:r>
      </w:p>
    </w:sdtContent>
  </w:sdt>
  <w:p w:rsidR="006346A0" w:rsidRDefault="006346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B78" w:rsidRDefault="001F0B78">
      <w:r>
        <w:separator/>
      </w:r>
    </w:p>
  </w:footnote>
  <w:footnote w:type="continuationSeparator" w:id="0">
    <w:p w:rsidR="001F0B78" w:rsidRDefault="001F0B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36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DC0"/>
    <w:rsid w:val="00050668"/>
    <w:rsid w:val="000951BB"/>
    <w:rsid w:val="001A2DDE"/>
    <w:rsid w:val="001D0258"/>
    <w:rsid w:val="001D6982"/>
    <w:rsid w:val="001F0B78"/>
    <w:rsid w:val="003C60F7"/>
    <w:rsid w:val="00427C3D"/>
    <w:rsid w:val="00514E60"/>
    <w:rsid w:val="00564E5E"/>
    <w:rsid w:val="00576A3B"/>
    <w:rsid w:val="00601CD7"/>
    <w:rsid w:val="006346A0"/>
    <w:rsid w:val="00651130"/>
    <w:rsid w:val="00674AE5"/>
    <w:rsid w:val="006E7F40"/>
    <w:rsid w:val="007B44F4"/>
    <w:rsid w:val="007D186D"/>
    <w:rsid w:val="0092002C"/>
    <w:rsid w:val="00921090"/>
    <w:rsid w:val="00960FDC"/>
    <w:rsid w:val="009710CB"/>
    <w:rsid w:val="009D6BA2"/>
    <w:rsid w:val="00B05B27"/>
    <w:rsid w:val="00B86059"/>
    <w:rsid w:val="00B94A6F"/>
    <w:rsid w:val="00BB5389"/>
    <w:rsid w:val="00BD3C7F"/>
    <w:rsid w:val="00C93A03"/>
    <w:rsid w:val="00CA3702"/>
    <w:rsid w:val="00D05BF8"/>
    <w:rsid w:val="00E24AE3"/>
    <w:rsid w:val="00E81C8E"/>
    <w:rsid w:val="00EF4DC0"/>
    <w:rsid w:val="00F25F63"/>
    <w:rsid w:val="00F43CE8"/>
    <w:rsid w:val="00F51B5A"/>
    <w:rsid w:val="00FF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DC0"/>
    <w:rPr>
      <w:rFonts w:ascii="Bookman Old Style" w:hAnsi="Bookman Old Style"/>
      <w:sz w:val="24"/>
      <w:szCs w:val="24"/>
    </w:rPr>
  </w:style>
  <w:style w:type="paragraph" w:styleId="Heading1">
    <w:name w:val="heading 1"/>
    <w:basedOn w:val="Normal"/>
    <w:next w:val="Normal"/>
    <w:qFormat/>
    <w:rsid w:val="00EF4DC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EF4D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">
    <w:name w:val="Italic"/>
    <w:basedOn w:val="DefaultParagraphFont"/>
    <w:rsid w:val="00EF4DC0"/>
    <w:rPr>
      <w:i/>
      <w:iCs/>
    </w:rPr>
  </w:style>
  <w:style w:type="paragraph" w:styleId="NormalWeb">
    <w:name w:val="Normal (Web)"/>
    <w:basedOn w:val="Normal"/>
    <w:link w:val="NormalWebChar"/>
    <w:rsid w:val="00EF4DC0"/>
  </w:style>
  <w:style w:type="paragraph" w:customStyle="1" w:styleId="Doubleindent">
    <w:name w:val="Double indent"/>
    <w:basedOn w:val="Normal"/>
    <w:link w:val="DoubleindentCharChar"/>
    <w:rsid w:val="00EF4DC0"/>
    <w:pPr>
      <w:spacing w:before="100" w:beforeAutospacing="1" w:after="100" w:afterAutospacing="1"/>
      <w:ind w:left="720" w:right="720"/>
    </w:pPr>
    <w:rPr>
      <w:rFonts w:cs="Arial"/>
    </w:rPr>
  </w:style>
  <w:style w:type="paragraph" w:styleId="Header">
    <w:name w:val="header"/>
    <w:basedOn w:val="Normal"/>
    <w:rsid w:val="00EF4D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F4DC0"/>
    <w:pPr>
      <w:tabs>
        <w:tab w:val="center" w:pos="4320"/>
        <w:tab w:val="right" w:pos="8640"/>
      </w:tabs>
    </w:pPr>
    <w:rPr>
      <w:sz w:val="20"/>
    </w:rPr>
  </w:style>
  <w:style w:type="character" w:customStyle="1" w:styleId="StyleBookmanOldStyleSmallcaps">
    <w:name w:val="Style Bookman Old Style Small caps"/>
    <w:basedOn w:val="DefaultParagraphFont"/>
    <w:rsid w:val="00EF4DC0"/>
    <w:rPr>
      <w:rFonts w:ascii="Bookman Old Style" w:hAnsi="Bookman Old Style"/>
      <w:smallCaps/>
      <w:sz w:val="24"/>
    </w:rPr>
  </w:style>
  <w:style w:type="character" w:customStyle="1" w:styleId="NormalWebChar">
    <w:name w:val="Normal (Web) Char"/>
    <w:basedOn w:val="DefaultParagraphFont"/>
    <w:link w:val="NormalWeb"/>
    <w:rsid w:val="00EF4DC0"/>
    <w:rPr>
      <w:rFonts w:ascii="Bookman Old Style" w:hAnsi="Bookman Old Style"/>
      <w:sz w:val="24"/>
      <w:szCs w:val="24"/>
      <w:lang w:val="en-US" w:eastAsia="en-US" w:bidi="ar-SA"/>
    </w:rPr>
  </w:style>
  <w:style w:type="character" w:customStyle="1" w:styleId="Bold">
    <w:name w:val="Bold"/>
    <w:basedOn w:val="DefaultParagraphFont"/>
    <w:rsid w:val="00EF4DC0"/>
    <w:rPr>
      <w:b/>
      <w:bCs/>
    </w:rPr>
  </w:style>
  <w:style w:type="character" w:customStyle="1" w:styleId="DoubleindentCharChar">
    <w:name w:val="Double indent Char Char"/>
    <w:basedOn w:val="DefaultParagraphFont"/>
    <w:link w:val="Doubleindent"/>
    <w:rsid w:val="00EF4DC0"/>
    <w:rPr>
      <w:rFonts w:ascii="Bookman Old Style" w:hAnsi="Bookman Old Style" w:cs="Arial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0506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5066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F0B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0B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0B78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1F0B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0B7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346A0"/>
    <w:rPr>
      <w:rFonts w:ascii="Bookman Old Style" w:hAnsi="Bookman Old Style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COURT\templates\opin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opinion.dot</Template>
  <TotalTime>0</TotalTime>
  <Pages>3</Pages>
  <Words>824</Words>
  <Characters>4242</Characters>
  <Application>Microsoft Office Word</Application>
  <DocSecurity>0</DocSecurity>
  <Lines>107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COURT OF APPEAL OF THE STATE OF FLORIDA</vt:lpstr>
    </vt:vector>
  </TitlesOfParts>
  <Company> 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 </dc:creator>
  <cp:keywords/>
  <dc:description/>
  <cp:lastModifiedBy>plazal</cp:lastModifiedBy>
  <cp:revision>3</cp:revision>
  <cp:lastPrinted>2012-05-03T15:16:00Z</cp:lastPrinted>
  <dcterms:created xsi:type="dcterms:W3CDTF">2012-05-24T16:40:00Z</dcterms:created>
  <dcterms:modified xsi:type="dcterms:W3CDTF">2012-05-30T13:02:00Z</dcterms:modified>
</cp:coreProperties>
</file>