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82" w:rsidRDefault="00C55D82" w:rsidP="00C55D82">
      <w:pPr>
        <w:jc w:val="center"/>
      </w:pPr>
      <w:bookmarkStart w:id="0" w:name="_GoBack"/>
      <w:bookmarkEnd w:id="0"/>
      <w:r>
        <w:t>NOT FINAL UNTIL TIME EXPIRES TO FILE REHEARING</w:t>
      </w:r>
    </w:p>
    <w:p w:rsidR="00C55D82" w:rsidRDefault="00C55D82" w:rsidP="00C55D82">
      <w:pPr>
        <w:jc w:val="center"/>
      </w:pPr>
      <w:r>
        <w:t>MOTION AND, IF FILED, DETERMINED</w:t>
      </w:r>
    </w:p>
    <w:p w:rsidR="00C55D82" w:rsidRDefault="00C55D82" w:rsidP="00C55D82">
      <w:pPr>
        <w:tabs>
          <w:tab w:val="left" w:pos="4680"/>
        </w:tabs>
        <w:jc w:val="center"/>
      </w:pPr>
    </w:p>
    <w:p w:rsidR="00C55D82" w:rsidRDefault="00C55D82" w:rsidP="00C55D82"/>
    <w:p w:rsidR="00C55D82" w:rsidRDefault="00C55D82" w:rsidP="00C55D82">
      <w:pPr>
        <w:tabs>
          <w:tab w:val="left" w:pos="4680"/>
        </w:tabs>
      </w:pPr>
      <w:r>
        <w:tab/>
        <w:t>IN THE DISTRICT COURT OF APPEAL</w:t>
      </w:r>
    </w:p>
    <w:p w:rsidR="00C55D82" w:rsidRDefault="00C55D82" w:rsidP="00C55D82">
      <w:pPr>
        <w:tabs>
          <w:tab w:val="left" w:pos="4680"/>
        </w:tabs>
      </w:pPr>
    </w:p>
    <w:p w:rsidR="00C55D82" w:rsidRDefault="00C55D82" w:rsidP="00C55D82">
      <w:pPr>
        <w:tabs>
          <w:tab w:val="left" w:pos="4680"/>
        </w:tabs>
      </w:pPr>
      <w:r>
        <w:tab/>
        <w:t xml:space="preserve">OF </w:t>
      </w:r>
      <w:smartTag w:uri="urn:schemas-microsoft-com:office:smarttags" w:element="place">
        <w:smartTag w:uri="urn:schemas-microsoft-com:office:smarttags" w:element="State">
          <w:r>
            <w:t>FLORIDA</w:t>
          </w:r>
        </w:smartTag>
      </w:smartTag>
    </w:p>
    <w:p w:rsidR="00C55D82" w:rsidRDefault="00C55D82" w:rsidP="00C55D82">
      <w:pPr>
        <w:tabs>
          <w:tab w:val="left" w:pos="4680"/>
        </w:tabs>
      </w:pPr>
    </w:p>
    <w:p w:rsidR="00C55D82" w:rsidRDefault="00C55D82" w:rsidP="00C55D82">
      <w:pPr>
        <w:tabs>
          <w:tab w:val="left" w:pos="4680"/>
        </w:tabs>
      </w:pPr>
      <w:r>
        <w:tab/>
        <w:t>SECOND DISTRICT</w:t>
      </w:r>
    </w:p>
    <w:p w:rsidR="00C55D82" w:rsidRDefault="00C55D82" w:rsidP="00C55D82"/>
    <w:p w:rsidR="00C55D82" w:rsidRDefault="00C55D82" w:rsidP="00C55D82"/>
    <w:p w:rsidR="00C55D82" w:rsidRDefault="005F016B" w:rsidP="00C55D82">
      <w:pPr>
        <w:tabs>
          <w:tab w:val="left" w:pos="4680"/>
        </w:tabs>
      </w:pPr>
      <w:r>
        <w:t>ALBERT MARCHMAN</w:t>
      </w:r>
      <w:r w:rsidR="00B52209">
        <w:t>,</w:t>
      </w:r>
      <w:r w:rsidR="00B52209">
        <w:tab/>
        <w:t>)</w:t>
      </w:r>
    </w:p>
    <w:p w:rsidR="00C55D82" w:rsidRDefault="00C55D82" w:rsidP="00C55D82">
      <w:pPr>
        <w:tabs>
          <w:tab w:val="left" w:pos="4680"/>
        </w:tabs>
      </w:pPr>
      <w:r>
        <w:tab/>
        <w:t>)</w:t>
      </w:r>
    </w:p>
    <w:p w:rsidR="00C55D82" w:rsidRDefault="00C55D82" w:rsidP="00C55D82">
      <w:pPr>
        <w:tabs>
          <w:tab w:val="left" w:pos="1440"/>
          <w:tab w:val="left" w:pos="4680"/>
        </w:tabs>
      </w:pPr>
      <w:r>
        <w:tab/>
        <w:t>Appellant,</w:t>
      </w:r>
      <w:r>
        <w:tab/>
        <w:t>)</w:t>
      </w:r>
    </w:p>
    <w:p w:rsidR="00C55D82" w:rsidRPr="005F016B" w:rsidRDefault="00C55D82" w:rsidP="00C55D82">
      <w:pPr>
        <w:tabs>
          <w:tab w:val="left" w:pos="1440"/>
          <w:tab w:val="left" w:pos="4680"/>
        </w:tabs>
      </w:pPr>
      <w:r>
        <w:tab/>
      </w:r>
      <w:r>
        <w:tab/>
        <w:t>)</w:t>
      </w:r>
    </w:p>
    <w:p w:rsidR="00C55D82" w:rsidRPr="005F016B" w:rsidRDefault="00C55D82" w:rsidP="00C55D82">
      <w:pPr>
        <w:tabs>
          <w:tab w:val="left" w:pos="1440"/>
          <w:tab w:val="left" w:pos="4680"/>
          <w:tab w:val="left" w:pos="5760"/>
        </w:tabs>
      </w:pPr>
      <w:r w:rsidRPr="005F016B">
        <w:t>v.</w:t>
      </w:r>
      <w:r w:rsidRPr="005F016B">
        <w:tab/>
      </w:r>
      <w:r w:rsidRPr="005F016B">
        <w:tab/>
        <w:t>)</w:t>
      </w:r>
      <w:r w:rsidRPr="005F016B">
        <w:tab/>
        <w:t>Case No. 2D</w:t>
      </w:r>
      <w:r w:rsidR="005F016B" w:rsidRPr="005F016B">
        <w:t>13-3827</w:t>
      </w:r>
    </w:p>
    <w:p w:rsidR="00C55D82" w:rsidRPr="005F016B" w:rsidRDefault="00C55D82" w:rsidP="00C55D82">
      <w:pPr>
        <w:tabs>
          <w:tab w:val="left" w:pos="1440"/>
          <w:tab w:val="left" w:pos="4680"/>
        </w:tabs>
      </w:pPr>
      <w:r w:rsidRPr="005F016B">
        <w:tab/>
      </w:r>
      <w:r w:rsidRPr="005F016B">
        <w:tab/>
        <w:t>)</w:t>
      </w:r>
    </w:p>
    <w:p w:rsidR="00C55D82" w:rsidRPr="005F016B" w:rsidRDefault="00051830" w:rsidP="00C55D82">
      <w:pPr>
        <w:tabs>
          <w:tab w:val="left" w:pos="1440"/>
          <w:tab w:val="left" w:pos="4680"/>
        </w:tabs>
      </w:pPr>
      <w:r w:rsidRPr="005F016B">
        <w:t>ST</w:t>
      </w:r>
      <w:r w:rsidR="005F016B" w:rsidRPr="005F016B">
        <w:t xml:space="preserve">. </w:t>
      </w:r>
      <w:r w:rsidRPr="005F016B">
        <w:t>A</w:t>
      </w:r>
      <w:r w:rsidR="005F016B" w:rsidRPr="005F016B">
        <w:t>N</w:t>
      </w:r>
      <w:r w:rsidRPr="005F016B">
        <w:t>T</w:t>
      </w:r>
      <w:r w:rsidR="005F016B" w:rsidRPr="005F016B">
        <w:t>HONY</w:t>
      </w:r>
      <w:r w:rsidR="001D1E03">
        <w:t>'</w:t>
      </w:r>
      <w:r w:rsidR="005F016B" w:rsidRPr="005F016B">
        <w:t>S HOSPITAL, INC.</w:t>
      </w:r>
      <w:r w:rsidR="00B52209" w:rsidRPr="005F016B">
        <w:t>,</w:t>
      </w:r>
      <w:r w:rsidR="00B52209" w:rsidRPr="005F016B">
        <w:tab/>
        <w:t>)</w:t>
      </w:r>
    </w:p>
    <w:p w:rsidR="00C55D82" w:rsidRPr="005F016B" w:rsidRDefault="00C55D82" w:rsidP="00C55D82">
      <w:pPr>
        <w:tabs>
          <w:tab w:val="left" w:pos="1440"/>
          <w:tab w:val="left" w:pos="4680"/>
        </w:tabs>
      </w:pPr>
      <w:r w:rsidRPr="005F016B">
        <w:tab/>
      </w:r>
      <w:r w:rsidRPr="005F016B">
        <w:tab/>
        <w:t>)</w:t>
      </w:r>
    </w:p>
    <w:p w:rsidR="00C55D82" w:rsidRPr="005F016B" w:rsidRDefault="00C55D82" w:rsidP="00C55D82">
      <w:pPr>
        <w:tabs>
          <w:tab w:val="left" w:pos="1440"/>
          <w:tab w:val="left" w:pos="4680"/>
        </w:tabs>
      </w:pPr>
      <w:r w:rsidRPr="005F016B">
        <w:tab/>
        <w:t>Appellee.</w:t>
      </w:r>
      <w:r w:rsidRPr="005F016B">
        <w:tab/>
        <w:t>)</w:t>
      </w:r>
    </w:p>
    <w:p w:rsidR="00C55D82" w:rsidRPr="005F016B" w:rsidRDefault="00C55D82" w:rsidP="00C55D82">
      <w:pPr>
        <w:tabs>
          <w:tab w:val="left" w:pos="1440"/>
          <w:tab w:val="left" w:pos="4680"/>
        </w:tabs>
      </w:pPr>
      <w:r w:rsidRPr="005F016B">
        <w:rPr>
          <w:u w:val="single"/>
        </w:rPr>
        <w:tab/>
      </w:r>
      <w:r w:rsidRPr="005F016B">
        <w:rPr>
          <w:u w:val="single"/>
        </w:rPr>
        <w:tab/>
      </w:r>
      <w:r w:rsidRPr="005F016B">
        <w:t>)</w:t>
      </w:r>
    </w:p>
    <w:p w:rsidR="00C55D82" w:rsidRPr="005F016B" w:rsidRDefault="00C55D82" w:rsidP="00C55D82"/>
    <w:p w:rsidR="00C55D82" w:rsidRPr="005F016B" w:rsidRDefault="00C55D82" w:rsidP="00C55D82">
      <w:r w:rsidRPr="005F016B">
        <w:t>Opinion filed</w:t>
      </w:r>
      <w:r w:rsidR="0009674C" w:rsidRPr="005F016B">
        <w:t xml:space="preserve"> </w:t>
      </w:r>
      <w:r w:rsidR="006D348A">
        <w:t>December 12, 2014.</w:t>
      </w:r>
    </w:p>
    <w:p w:rsidR="00C55D82" w:rsidRDefault="00C55D82" w:rsidP="00C55D82"/>
    <w:p w:rsidR="005F016B" w:rsidRDefault="00C55D82" w:rsidP="00C55D82">
      <w:pPr>
        <w:ind w:right="4680"/>
      </w:pPr>
      <w:r>
        <w:t>Appeal from the C</w:t>
      </w:r>
      <w:r w:rsidR="005F016B">
        <w:t>ommission on Human Relations.</w:t>
      </w:r>
    </w:p>
    <w:p w:rsidR="00C55D82" w:rsidRDefault="00C55D82" w:rsidP="00C55D82">
      <w:pPr>
        <w:ind w:right="4680"/>
      </w:pPr>
    </w:p>
    <w:p w:rsidR="00C55D82" w:rsidRDefault="005F016B" w:rsidP="00C55D82">
      <w:pPr>
        <w:ind w:right="4680"/>
      </w:pPr>
      <w:r>
        <w:t>Matthew W. Dietz of Law Offices of Matthew W. Dietz, P.L., Miami</w:t>
      </w:r>
      <w:r w:rsidR="00B52209">
        <w:t>, for Appellant.</w:t>
      </w:r>
    </w:p>
    <w:p w:rsidR="00C55D82" w:rsidRDefault="00C55D82" w:rsidP="00C55D82">
      <w:pPr>
        <w:ind w:right="4680"/>
      </w:pPr>
    </w:p>
    <w:p w:rsidR="00C55D82" w:rsidRDefault="005F016B" w:rsidP="00C55D82">
      <w:pPr>
        <w:ind w:right="4680"/>
      </w:pPr>
      <w:r>
        <w:t xml:space="preserve">Scott T. Silverman of Akerman, LLP, Tampa, </w:t>
      </w:r>
      <w:r w:rsidR="00B52209">
        <w:t>for Appellee.</w:t>
      </w:r>
    </w:p>
    <w:p w:rsidR="00C55D82" w:rsidRDefault="00C55D82" w:rsidP="00C55D82"/>
    <w:p w:rsidR="00B52209" w:rsidRDefault="00B52209" w:rsidP="00C55D82"/>
    <w:p w:rsidR="00C55D82" w:rsidRDefault="00C37642" w:rsidP="00C55D82">
      <w:r>
        <w:t>CRENSHAW, Judge</w:t>
      </w:r>
      <w:r w:rsidR="00C55D82">
        <w:t>.</w:t>
      </w:r>
    </w:p>
    <w:p w:rsidR="00C55D82" w:rsidRDefault="00C55D82" w:rsidP="00C55D82"/>
    <w:p w:rsidR="00DA1424" w:rsidRDefault="00C37642" w:rsidP="00636BFC">
      <w:pPr>
        <w:spacing w:line="480" w:lineRule="auto"/>
        <w:ind w:firstLine="1440"/>
        <w:rPr>
          <w:rFonts w:cs="Arial"/>
        </w:rPr>
      </w:pPr>
      <w:r>
        <w:rPr>
          <w:rFonts w:cs="Arial"/>
        </w:rPr>
        <w:t>Albert Marchman is a deaf man who does not speak.  He was admitted to St. Anthony</w:t>
      </w:r>
      <w:r w:rsidR="001D1E03">
        <w:rPr>
          <w:rFonts w:cs="Arial"/>
        </w:rPr>
        <w:t>'</w:t>
      </w:r>
      <w:r>
        <w:rPr>
          <w:rFonts w:cs="Arial"/>
        </w:rPr>
        <w:t>s Hospital for heart problems but at no point was he provided a sign language interpreter.  Subsequently, Marchman filed an action with the Florida Commission on Human Relations alleging discrimination based on physical disability in contravention of the</w:t>
      </w:r>
      <w:r w:rsidR="00087EC7">
        <w:rPr>
          <w:rFonts w:cs="Arial"/>
        </w:rPr>
        <w:t xml:space="preserve"> </w:t>
      </w:r>
      <w:r w:rsidR="00087EC7" w:rsidRPr="00087EC7">
        <w:rPr>
          <w:rFonts w:cs="Arial"/>
        </w:rPr>
        <w:t xml:space="preserve">Florida Civil Rights Act of 1992, §§ 760.01-.11; § 509.092, Fla. </w:t>
      </w:r>
      <w:r w:rsidR="00087EC7" w:rsidRPr="00087EC7">
        <w:rPr>
          <w:rFonts w:cs="Arial"/>
        </w:rPr>
        <w:lastRenderedPageBreak/>
        <w:t xml:space="preserve">Stat. </w:t>
      </w:r>
      <w:r w:rsidR="00087EC7">
        <w:rPr>
          <w:rFonts w:cs="Arial"/>
        </w:rPr>
        <w:t xml:space="preserve">(2012) </w:t>
      </w:r>
      <w:r w:rsidR="00087EC7" w:rsidRPr="00087EC7">
        <w:rPr>
          <w:rFonts w:cs="Arial"/>
        </w:rPr>
        <w:t>(FCRA)</w:t>
      </w:r>
      <w:r>
        <w:rPr>
          <w:rFonts w:cs="Arial"/>
        </w:rPr>
        <w:t xml:space="preserve">.  </w:t>
      </w:r>
      <w:r w:rsidR="00DA1424" w:rsidRPr="00DA1424">
        <w:rPr>
          <w:rFonts w:cs="Arial"/>
        </w:rPr>
        <w:t>Because we conclude that the Commission did not err in holding that it lacked jurisdiction over hospitals even if they had coffee shops, vending machines, and cafeterias within them, we affirm.</w:t>
      </w:r>
    </w:p>
    <w:p w:rsidR="00616F49" w:rsidRDefault="00DA1424" w:rsidP="00616F49">
      <w:pPr>
        <w:spacing w:line="480" w:lineRule="auto"/>
        <w:ind w:firstLine="1440"/>
        <w:rPr>
          <w:rFonts w:cs="Arial"/>
        </w:rPr>
      </w:pPr>
      <w:r>
        <w:rPr>
          <w:rFonts w:cs="Arial"/>
        </w:rPr>
        <w:t>In this case, the</w:t>
      </w:r>
      <w:r w:rsidR="00C37642">
        <w:rPr>
          <w:rFonts w:cs="Arial"/>
        </w:rPr>
        <w:t xml:space="preserve"> action was abated as a similar </w:t>
      </w:r>
      <w:r w:rsidR="00AB7996">
        <w:rPr>
          <w:rFonts w:cs="Arial"/>
        </w:rPr>
        <w:t>case</w:t>
      </w:r>
      <w:r w:rsidR="00C37642">
        <w:rPr>
          <w:rFonts w:cs="Arial"/>
        </w:rPr>
        <w:t xml:space="preserve"> </w:t>
      </w:r>
      <w:r w:rsidR="00F85B96">
        <w:rPr>
          <w:rFonts w:cs="Arial"/>
        </w:rPr>
        <w:t xml:space="preserve">was then pending in the First District Court of Appeal.  </w:t>
      </w:r>
      <w:r w:rsidR="00F85B96">
        <w:rPr>
          <w:rFonts w:cs="Arial"/>
          <w:u w:val="single"/>
        </w:rPr>
        <w:t>See</w:t>
      </w:r>
      <w:r w:rsidR="00F85B96">
        <w:rPr>
          <w:rFonts w:cs="Arial"/>
        </w:rPr>
        <w:t xml:space="preserve"> </w:t>
      </w:r>
      <w:r w:rsidR="00C37642" w:rsidRPr="00805512">
        <w:rPr>
          <w:rFonts w:cs="Arial"/>
          <w:u w:val="single"/>
        </w:rPr>
        <w:t xml:space="preserve">Mena v. </w:t>
      </w:r>
      <w:proofErr w:type="spellStart"/>
      <w:r w:rsidR="00C37642" w:rsidRPr="00805512">
        <w:rPr>
          <w:rFonts w:cs="Arial"/>
          <w:u w:val="single"/>
        </w:rPr>
        <w:t>Lifemark</w:t>
      </w:r>
      <w:proofErr w:type="spellEnd"/>
      <w:r w:rsidR="00C37642" w:rsidRPr="00805512">
        <w:rPr>
          <w:rFonts w:cs="Arial"/>
          <w:u w:val="single"/>
        </w:rPr>
        <w:t xml:space="preserve"> Hosp</w:t>
      </w:r>
      <w:r w:rsidR="00FA5605">
        <w:rPr>
          <w:rFonts w:cs="Arial"/>
          <w:u w:val="single"/>
        </w:rPr>
        <w:t>.</w:t>
      </w:r>
      <w:r w:rsidR="00C37642" w:rsidRPr="00805512">
        <w:rPr>
          <w:rFonts w:cs="Arial"/>
          <w:u w:val="single"/>
        </w:rPr>
        <w:t xml:space="preserve"> of Fla</w:t>
      </w:r>
      <w:r w:rsidR="00FA5605">
        <w:rPr>
          <w:rFonts w:cs="Arial"/>
          <w:u w:val="single"/>
        </w:rPr>
        <w:t>.</w:t>
      </w:r>
      <w:r w:rsidR="00C37642" w:rsidRPr="00805512">
        <w:rPr>
          <w:rFonts w:cs="Arial"/>
          <w:u w:val="single"/>
        </w:rPr>
        <w:t>, Inc.</w:t>
      </w:r>
      <w:r w:rsidR="00C37642" w:rsidRPr="00805512">
        <w:rPr>
          <w:rFonts w:cs="Arial"/>
        </w:rPr>
        <w:t>, 109 So. 3d 787 (Fla. 1st DCA 2013)</w:t>
      </w:r>
      <w:r w:rsidR="00636BFC">
        <w:rPr>
          <w:rFonts w:cs="Arial"/>
        </w:rPr>
        <w:t xml:space="preserve"> (unpublished table decision) (</w:t>
      </w:r>
      <w:r w:rsidR="00636BFC">
        <w:rPr>
          <w:rFonts w:cs="Arial"/>
          <w:u w:val="single"/>
        </w:rPr>
        <w:t>Mena II</w:t>
      </w:r>
      <w:r w:rsidR="00636BFC">
        <w:rPr>
          <w:rFonts w:cs="Arial"/>
        </w:rPr>
        <w:t>)</w:t>
      </w:r>
      <w:r w:rsidR="00F85B96">
        <w:rPr>
          <w:rFonts w:cs="Arial"/>
        </w:rPr>
        <w:t>.</w:t>
      </w:r>
      <w:r w:rsidR="00C37642">
        <w:rPr>
          <w:rFonts w:cs="Arial"/>
        </w:rPr>
        <w:t xml:space="preserve">  In </w:t>
      </w:r>
      <w:r w:rsidR="00636BFC" w:rsidRPr="00636BFC">
        <w:rPr>
          <w:rFonts w:cs="Arial"/>
          <w:u w:val="single"/>
        </w:rPr>
        <w:t xml:space="preserve">Mena v. </w:t>
      </w:r>
      <w:proofErr w:type="spellStart"/>
      <w:r w:rsidR="00636BFC" w:rsidRPr="00636BFC">
        <w:rPr>
          <w:rFonts w:cs="Arial"/>
          <w:u w:val="single"/>
        </w:rPr>
        <w:t>Lifemark</w:t>
      </w:r>
      <w:proofErr w:type="spellEnd"/>
      <w:r w:rsidR="00636BFC" w:rsidRPr="00636BFC">
        <w:rPr>
          <w:rFonts w:cs="Arial"/>
          <w:u w:val="single"/>
        </w:rPr>
        <w:t xml:space="preserve"> Hospitals of Florida, Inc.</w:t>
      </w:r>
      <w:r w:rsidR="00636BFC">
        <w:rPr>
          <w:rFonts w:cs="Arial"/>
        </w:rPr>
        <w:t xml:space="preserve">, 50 So. 3d 759 </w:t>
      </w:r>
      <w:r w:rsidR="00636BFC" w:rsidRPr="00636BFC">
        <w:rPr>
          <w:rFonts w:cs="Arial"/>
        </w:rPr>
        <w:t>(Fla. 1st DCA 2010)</w:t>
      </w:r>
      <w:r w:rsidR="00636BFC">
        <w:rPr>
          <w:rFonts w:cs="Arial"/>
        </w:rPr>
        <w:t xml:space="preserve"> (</w:t>
      </w:r>
      <w:r w:rsidR="00636BFC">
        <w:rPr>
          <w:rFonts w:cs="Arial"/>
          <w:u w:val="single"/>
        </w:rPr>
        <w:t>Mena I</w:t>
      </w:r>
      <w:r w:rsidR="00636BFC">
        <w:rPr>
          <w:rFonts w:cs="Arial"/>
        </w:rPr>
        <w:t>), Ms. Mena</w:t>
      </w:r>
      <w:r w:rsidR="00C042E2">
        <w:rPr>
          <w:rFonts w:cs="Arial"/>
        </w:rPr>
        <w:t xml:space="preserve">, also a deaf person to whom a sign language interpreter was not assigned, recognized </w:t>
      </w:r>
      <w:r w:rsidR="00636BFC">
        <w:rPr>
          <w:rFonts w:cs="Arial"/>
        </w:rPr>
        <w:t xml:space="preserve">that </w:t>
      </w:r>
      <w:r w:rsidR="00C042E2">
        <w:rPr>
          <w:rFonts w:cs="Arial"/>
        </w:rPr>
        <w:t xml:space="preserve">the hospital, as a </w:t>
      </w:r>
      <w:r w:rsidR="00C042E2" w:rsidRPr="00C042E2">
        <w:rPr>
          <w:rFonts w:cs="Arial"/>
          <w:i/>
        </w:rPr>
        <w:t>hospital</w:t>
      </w:r>
      <w:r w:rsidR="00C042E2">
        <w:rPr>
          <w:rFonts w:cs="Arial"/>
        </w:rPr>
        <w:t xml:space="preserve">, was not regulated under </w:t>
      </w:r>
      <w:r w:rsidR="00087EC7">
        <w:rPr>
          <w:rFonts w:cs="Arial"/>
        </w:rPr>
        <w:t>FCRA</w:t>
      </w:r>
      <w:r>
        <w:rPr>
          <w:rFonts w:cs="Arial"/>
        </w:rPr>
        <w:t>.</w:t>
      </w:r>
      <w:r w:rsidR="00C042E2">
        <w:rPr>
          <w:rFonts w:cs="Arial"/>
        </w:rPr>
        <w:t xml:space="preserve"> </w:t>
      </w:r>
      <w:r w:rsidR="00616F49">
        <w:rPr>
          <w:rFonts w:cs="Arial"/>
        </w:rPr>
        <w:t xml:space="preserve"> </w:t>
      </w:r>
      <w:r w:rsidR="00AB7996">
        <w:rPr>
          <w:rFonts w:cs="Arial"/>
        </w:rPr>
        <w:t>Instead</w:t>
      </w:r>
      <w:r w:rsidR="00C042E2">
        <w:rPr>
          <w:rFonts w:cs="Arial"/>
        </w:rPr>
        <w:t xml:space="preserve"> </w:t>
      </w:r>
      <w:r w:rsidR="00616F49">
        <w:rPr>
          <w:rFonts w:cs="Arial"/>
        </w:rPr>
        <w:t xml:space="preserve">she argued that because within the hospital </w:t>
      </w:r>
      <w:r w:rsidR="00AB7996">
        <w:rPr>
          <w:rFonts w:cs="Arial"/>
        </w:rPr>
        <w:t xml:space="preserve">there </w:t>
      </w:r>
      <w:r w:rsidR="00616F49">
        <w:rPr>
          <w:rFonts w:cs="Arial"/>
        </w:rPr>
        <w:t>was a</w:t>
      </w:r>
      <w:r w:rsidR="00AB7996">
        <w:rPr>
          <w:rFonts w:cs="Arial"/>
        </w:rPr>
        <w:t xml:space="preserve">n </w:t>
      </w:r>
      <w:r w:rsidR="00C042E2" w:rsidRPr="00C042E2">
        <w:rPr>
          <w:rFonts w:cs="Arial"/>
        </w:rPr>
        <w:t>establishment</w:t>
      </w:r>
      <w:r w:rsidR="00AB7996" w:rsidRPr="00AB7996">
        <w:rPr>
          <w:rFonts w:cs="Arial"/>
        </w:rPr>
        <w:t xml:space="preserve"> covered</w:t>
      </w:r>
      <w:r w:rsidR="00AB7996">
        <w:rPr>
          <w:rFonts w:cs="Arial"/>
        </w:rPr>
        <w:t xml:space="preserve"> by FCRA</w:t>
      </w:r>
      <w:r w:rsidR="00616F49">
        <w:rPr>
          <w:rFonts w:cs="Arial"/>
        </w:rPr>
        <w:t>, namely the hospital cafeteria, the hospital was transform</w:t>
      </w:r>
      <w:r w:rsidR="00AB7996">
        <w:rPr>
          <w:rFonts w:cs="Arial"/>
        </w:rPr>
        <w:t xml:space="preserve">ed into a covered establishment.  </w:t>
      </w:r>
      <w:r w:rsidR="00F85B96" w:rsidRPr="00AB7996">
        <w:rPr>
          <w:rFonts w:cs="Arial"/>
          <w:u w:val="single"/>
        </w:rPr>
        <w:t>Id.</w:t>
      </w:r>
      <w:r w:rsidR="00AB7996">
        <w:rPr>
          <w:rFonts w:cs="Arial"/>
        </w:rPr>
        <w:t xml:space="preserve">  She </w:t>
      </w:r>
      <w:r w:rsidR="00616F49">
        <w:rPr>
          <w:rFonts w:cs="Arial"/>
        </w:rPr>
        <w:t>reli</w:t>
      </w:r>
      <w:r w:rsidR="00AB7996">
        <w:rPr>
          <w:rFonts w:cs="Arial"/>
        </w:rPr>
        <w:t>ed</w:t>
      </w:r>
      <w:r w:rsidR="00616F49">
        <w:rPr>
          <w:rFonts w:cs="Arial"/>
        </w:rPr>
        <w:t xml:space="preserve"> on s</w:t>
      </w:r>
      <w:r w:rsidR="00616F49" w:rsidRPr="00616F49">
        <w:rPr>
          <w:rFonts w:cs="Arial"/>
        </w:rPr>
        <w:t>ection 760.02(11)</w:t>
      </w:r>
      <w:r w:rsidR="00616F49">
        <w:rPr>
          <w:rFonts w:cs="Arial"/>
        </w:rPr>
        <w:t>, Florida Statutes,</w:t>
      </w:r>
      <w:r w:rsidR="00B63EA8">
        <w:rPr>
          <w:rStyle w:val="FootnoteReference"/>
          <w:rFonts w:cs="Arial"/>
        </w:rPr>
        <w:footnoteReference w:id="1"/>
      </w:r>
      <w:r w:rsidR="00616F49">
        <w:rPr>
          <w:rFonts w:cs="Arial"/>
        </w:rPr>
        <w:t xml:space="preserve"> which </w:t>
      </w:r>
      <w:r w:rsidR="00616F49" w:rsidRPr="00616F49">
        <w:rPr>
          <w:rFonts w:cs="Arial"/>
        </w:rPr>
        <w:t>de</w:t>
      </w:r>
      <w:r w:rsidR="00616F49">
        <w:rPr>
          <w:rFonts w:cs="Arial"/>
        </w:rPr>
        <w:t xml:space="preserve">fines as a public accommodation </w:t>
      </w:r>
      <w:r w:rsidR="001D1E03">
        <w:rPr>
          <w:rFonts w:cs="Arial"/>
        </w:rPr>
        <w:t>"</w:t>
      </w:r>
      <w:r w:rsidR="00616F49">
        <w:rPr>
          <w:rFonts w:cs="Arial"/>
        </w:rPr>
        <w:t>a</w:t>
      </w:r>
      <w:r w:rsidR="00616F49" w:rsidRPr="00616F49">
        <w:rPr>
          <w:rFonts w:cs="Arial"/>
        </w:rPr>
        <w:t xml:space="preserve">ny establishment </w:t>
      </w:r>
      <w:r w:rsidR="00616F49">
        <w:rPr>
          <w:rFonts w:cs="Arial"/>
        </w:rPr>
        <w:t xml:space="preserve">. . . </w:t>
      </w:r>
      <w:r w:rsidR="00616F49" w:rsidRPr="00616F49">
        <w:rPr>
          <w:rFonts w:cs="Arial"/>
        </w:rPr>
        <w:t>within the premises of which is physically located any such covered establishment, and which holds itself out as serving patrons of such covered establishment.</w:t>
      </w:r>
      <w:r w:rsidR="001D1E03">
        <w:rPr>
          <w:rFonts w:cs="Arial"/>
        </w:rPr>
        <w:t>"</w:t>
      </w:r>
      <w:r w:rsidR="00616F49">
        <w:rPr>
          <w:rFonts w:cs="Arial"/>
        </w:rPr>
        <w:t xml:space="preserve">  </w:t>
      </w:r>
      <w:r w:rsidR="00616F49" w:rsidRPr="00616F49">
        <w:rPr>
          <w:rFonts w:cs="Arial"/>
          <w:u w:val="single"/>
        </w:rPr>
        <w:t>Id.</w:t>
      </w:r>
      <w:r w:rsidR="00616F49">
        <w:rPr>
          <w:rFonts w:cs="Arial"/>
        </w:rPr>
        <w:t xml:space="preserve"> at 761.  The First District concluded that the Commission failed to make findings of fact as to whether the hospital held itself out as serving patrons of the cafeteria and remanded for the Commission to do so.  </w:t>
      </w:r>
      <w:r w:rsidR="00616F49" w:rsidRPr="00616F49">
        <w:rPr>
          <w:rFonts w:cs="Arial"/>
          <w:u w:val="single"/>
        </w:rPr>
        <w:t>Id.</w:t>
      </w:r>
      <w:r w:rsidR="00616F49">
        <w:rPr>
          <w:rFonts w:cs="Arial"/>
        </w:rPr>
        <w:t xml:space="preserve">  Ultimately, on remand, the Commission found that the hospital was not holding itself out as serving patrons of the cafeteria, thus leaving the hospital outside the ambit of </w:t>
      </w:r>
      <w:r>
        <w:rPr>
          <w:rFonts w:cs="Arial"/>
        </w:rPr>
        <w:t>FCRA</w:t>
      </w:r>
      <w:r w:rsidR="00616F49">
        <w:rPr>
          <w:rFonts w:cs="Arial"/>
        </w:rPr>
        <w:t xml:space="preserve">.  On subsequent appeal to the First District, the court affirmed without a written opinion.  </w:t>
      </w:r>
      <w:r w:rsidR="00616F49">
        <w:rPr>
          <w:rFonts w:cs="Arial"/>
          <w:u w:val="single"/>
        </w:rPr>
        <w:t>Mena II</w:t>
      </w:r>
      <w:r w:rsidR="00616F49">
        <w:rPr>
          <w:rFonts w:cs="Arial"/>
        </w:rPr>
        <w:t xml:space="preserve">, </w:t>
      </w:r>
      <w:r w:rsidR="00616F49" w:rsidRPr="00616F49">
        <w:rPr>
          <w:rFonts w:cs="Arial"/>
        </w:rPr>
        <w:t>109 So. 3d 787</w:t>
      </w:r>
      <w:r w:rsidR="00616F49">
        <w:rPr>
          <w:rFonts w:cs="Arial"/>
        </w:rPr>
        <w:t>.</w:t>
      </w:r>
    </w:p>
    <w:p w:rsidR="00BA2DAD" w:rsidRDefault="00DA1424" w:rsidP="00C37642">
      <w:pPr>
        <w:spacing w:line="480" w:lineRule="auto"/>
        <w:ind w:firstLine="1440"/>
        <w:rPr>
          <w:rFonts w:cs="Arial"/>
        </w:rPr>
      </w:pPr>
      <w:r>
        <w:rPr>
          <w:rFonts w:cs="Arial"/>
        </w:rPr>
        <w:lastRenderedPageBreak/>
        <w:t>FCRA is largely base</w:t>
      </w:r>
      <w:r w:rsidRPr="005D0A27">
        <w:rPr>
          <w:rFonts w:cs="Arial"/>
        </w:rPr>
        <w:t xml:space="preserve">d on </w:t>
      </w:r>
      <w:r w:rsidR="00FA5605">
        <w:rPr>
          <w:rFonts w:cs="Arial"/>
        </w:rPr>
        <w:t>Ti</w:t>
      </w:r>
      <w:r w:rsidRPr="005D0A27">
        <w:rPr>
          <w:rFonts w:cs="Arial"/>
        </w:rPr>
        <w:t>tle V</w:t>
      </w:r>
      <w:r>
        <w:rPr>
          <w:rFonts w:cs="Arial"/>
        </w:rPr>
        <w:t>II of the federal Civil Rights Act of 1964.</w:t>
      </w:r>
      <w:r w:rsidRPr="00DA1424">
        <w:rPr>
          <w:rFonts w:cs="Arial"/>
        </w:rPr>
        <w:t xml:space="preserve">  </w:t>
      </w:r>
      <w:proofErr w:type="spellStart"/>
      <w:r w:rsidRPr="00DA1424">
        <w:rPr>
          <w:rFonts w:cs="Arial"/>
          <w:u w:val="single"/>
        </w:rPr>
        <w:t>Woodham</w:t>
      </w:r>
      <w:proofErr w:type="spellEnd"/>
      <w:r w:rsidRPr="00DA1424">
        <w:rPr>
          <w:rFonts w:cs="Arial"/>
          <w:u w:val="single"/>
        </w:rPr>
        <w:t xml:space="preserve"> v. Blue Cross &amp; Blue Shield of </w:t>
      </w:r>
      <w:r w:rsidR="00087EC7">
        <w:rPr>
          <w:rFonts w:cs="Arial"/>
          <w:u w:val="single"/>
        </w:rPr>
        <w:t>Fla.,</w:t>
      </w:r>
      <w:r w:rsidRPr="00DA1424">
        <w:rPr>
          <w:rFonts w:cs="Arial"/>
          <w:u w:val="single"/>
        </w:rPr>
        <w:t xml:space="preserve"> Inc.</w:t>
      </w:r>
      <w:r w:rsidRPr="00DA1424">
        <w:rPr>
          <w:rFonts w:cs="Arial"/>
        </w:rPr>
        <w:t>, 829 So. 2d 891, 895 (Fla. 2002)</w:t>
      </w:r>
      <w:r w:rsidR="00087EC7">
        <w:rPr>
          <w:rFonts w:cs="Arial"/>
        </w:rPr>
        <w:t xml:space="preserve">; </w:t>
      </w:r>
      <w:r w:rsidR="00087EC7">
        <w:rPr>
          <w:rFonts w:cs="Arial"/>
          <w:u w:val="single"/>
        </w:rPr>
        <w:t>cf.</w:t>
      </w:r>
      <w:r w:rsidR="00087EC7">
        <w:rPr>
          <w:rFonts w:cs="Arial"/>
        </w:rPr>
        <w:t xml:space="preserve"> </w:t>
      </w:r>
      <w:r w:rsidR="00087EC7" w:rsidRPr="00087EC7">
        <w:rPr>
          <w:rFonts w:cs="Arial"/>
        </w:rPr>
        <w:t>§</w:t>
      </w:r>
      <w:r w:rsidR="00087EC7">
        <w:rPr>
          <w:rFonts w:cs="Arial"/>
        </w:rPr>
        <w:t xml:space="preserve"> 760.11 (</w:t>
      </w:r>
      <w:r w:rsidR="001D1E03">
        <w:rPr>
          <w:rFonts w:cs="Arial"/>
        </w:rPr>
        <w:t>"</w:t>
      </w:r>
      <w:r w:rsidR="00087EC7" w:rsidRPr="00087EC7">
        <w:rPr>
          <w:rFonts w:cs="Arial"/>
        </w:rPr>
        <w:t>It is the intent of the Legislature that this provision for attorney</w:t>
      </w:r>
      <w:r w:rsidR="001D1E03">
        <w:rPr>
          <w:rFonts w:cs="Arial"/>
        </w:rPr>
        <w:t>'</w:t>
      </w:r>
      <w:r w:rsidR="00087EC7" w:rsidRPr="00087EC7">
        <w:rPr>
          <w:rFonts w:cs="Arial"/>
        </w:rPr>
        <w:t>s fees be interpreted in a manner consistent with federal case law involving a Title VII action.</w:t>
      </w:r>
      <w:r w:rsidR="001D1E03">
        <w:rPr>
          <w:rFonts w:cs="Arial"/>
        </w:rPr>
        <w:t>"</w:t>
      </w:r>
      <w:r w:rsidR="00087EC7">
        <w:rPr>
          <w:rFonts w:cs="Arial"/>
        </w:rPr>
        <w:t xml:space="preserve">).  </w:t>
      </w:r>
      <w:r w:rsidR="00C37642">
        <w:rPr>
          <w:rFonts w:cs="Arial"/>
        </w:rPr>
        <w:t>We</w:t>
      </w:r>
      <w:r w:rsidR="00C37642" w:rsidRPr="00B8307E">
        <w:rPr>
          <w:rFonts w:cs="Arial"/>
        </w:rPr>
        <w:t xml:space="preserve"> </w:t>
      </w:r>
      <w:r w:rsidR="001D1E03">
        <w:rPr>
          <w:rFonts w:cs="Arial"/>
        </w:rPr>
        <w:t>"</w:t>
      </w:r>
      <w:r w:rsidR="00C37642" w:rsidRPr="00B8307E">
        <w:rPr>
          <w:rFonts w:cs="Arial"/>
        </w:rPr>
        <w:t>recognize</w:t>
      </w:r>
      <w:r w:rsidR="00C37642">
        <w:rPr>
          <w:rFonts w:cs="Arial"/>
        </w:rPr>
        <w:t>[]</w:t>
      </w:r>
      <w:r w:rsidR="00C37642" w:rsidRPr="00B8307E">
        <w:rPr>
          <w:rFonts w:cs="Arial"/>
        </w:rPr>
        <w:t xml:space="preserve"> that if a state law is patterned after a federal law on the same subject, the Florida law will be accorded the same construction as in federal courts to the extent the construction is harmonious with the spirit of the Florida legislation.</w:t>
      </w:r>
      <w:r w:rsidR="001D1E03">
        <w:rPr>
          <w:rFonts w:cs="Arial"/>
        </w:rPr>
        <w:t>"</w:t>
      </w:r>
      <w:r w:rsidR="00C37642">
        <w:rPr>
          <w:rFonts w:cs="Arial"/>
        </w:rPr>
        <w:t xml:space="preserve">  </w:t>
      </w:r>
      <w:r w:rsidR="00C37642" w:rsidRPr="001C7C5E">
        <w:rPr>
          <w:rFonts w:cs="Arial"/>
          <w:u w:val="single"/>
        </w:rPr>
        <w:t>Winn-Dixie Stores, Inc. v. Reddick</w:t>
      </w:r>
      <w:r w:rsidR="00C37642" w:rsidRPr="001C7C5E">
        <w:rPr>
          <w:rFonts w:cs="Arial"/>
        </w:rPr>
        <w:t>, 954 So. 2d 723, 728 (Fla. 1st DCA 2007)</w:t>
      </w:r>
      <w:r w:rsidR="004D2C34">
        <w:rPr>
          <w:rFonts w:cs="Arial"/>
        </w:rPr>
        <w:t xml:space="preserve"> (quoting </w:t>
      </w:r>
      <w:proofErr w:type="spellStart"/>
      <w:r w:rsidR="004D2C34">
        <w:rPr>
          <w:rFonts w:cs="Arial"/>
          <w:u w:val="single"/>
        </w:rPr>
        <w:t>O</w:t>
      </w:r>
      <w:r w:rsidR="001D1E03">
        <w:rPr>
          <w:rFonts w:cs="Arial"/>
          <w:u w:val="single"/>
        </w:rPr>
        <w:t>'</w:t>
      </w:r>
      <w:r w:rsidR="004D2C34">
        <w:rPr>
          <w:rFonts w:cs="Arial"/>
          <w:u w:val="single"/>
        </w:rPr>
        <w:t>Loughlin</w:t>
      </w:r>
      <w:proofErr w:type="spellEnd"/>
      <w:r w:rsidR="004D2C34">
        <w:rPr>
          <w:rFonts w:cs="Arial"/>
          <w:u w:val="single"/>
        </w:rPr>
        <w:t xml:space="preserve"> v. </w:t>
      </w:r>
      <w:proofErr w:type="spellStart"/>
      <w:r w:rsidR="004D2C34">
        <w:rPr>
          <w:rFonts w:cs="Arial"/>
          <w:u w:val="single"/>
        </w:rPr>
        <w:t>Pinchback</w:t>
      </w:r>
      <w:proofErr w:type="spellEnd"/>
      <w:r w:rsidR="004D2C34">
        <w:rPr>
          <w:rFonts w:cs="Arial"/>
        </w:rPr>
        <w:t>, 579 So. 2d 788, 791 (Fla. 1st DCA 1911))</w:t>
      </w:r>
      <w:r w:rsidR="00C37642">
        <w:rPr>
          <w:rFonts w:cs="Arial"/>
        </w:rPr>
        <w:t xml:space="preserve">.  </w:t>
      </w:r>
      <w:r w:rsidR="00BA2DAD">
        <w:rPr>
          <w:rFonts w:cs="Arial"/>
        </w:rPr>
        <w:t xml:space="preserve">However, the Florida Supreme Court has recently reaffirmed that </w:t>
      </w:r>
    </w:p>
    <w:p w:rsidR="00BA2DAD" w:rsidRPr="00BA2DAD" w:rsidRDefault="00BA2DAD" w:rsidP="00E65C42">
      <w:pPr>
        <w:spacing w:after="240"/>
        <w:ind w:left="1440" w:right="1440"/>
        <w:rPr>
          <w:rFonts w:cs="Arial"/>
        </w:rPr>
      </w:pPr>
      <w:r>
        <w:rPr>
          <w:rFonts w:cs="Arial"/>
        </w:rPr>
        <w:t>[t]</w:t>
      </w:r>
      <w:r w:rsidRPr="00BA2DAD">
        <w:rPr>
          <w:rFonts w:cs="Arial"/>
        </w:rPr>
        <w:t xml:space="preserve">o discern legislative intent, a court must look first and foremost at the actual language used in the statute. Moreover, </w:t>
      </w:r>
      <w:r w:rsidRPr="00BA2DAD">
        <w:rPr>
          <w:rFonts w:cs="Arial"/>
          <w:u w:val="single"/>
        </w:rPr>
        <w:t>a statute should be interpreted to give effect to every clause in it, and to accord meaning and harmony to all of its parts</w:t>
      </w:r>
      <w:r w:rsidRPr="00BA2DAD">
        <w:rPr>
          <w:rFonts w:cs="Arial"/>
        </w:rPr>
        <w:t>.  When reconciling statutes that may appear to conflict, the rules of statutory construction provide that a specific statute will control over a general statute</w:t>
      </w:r>
      <w:r>
        <w:rPr>
          <w:rFonts w:cs="Arial"/>
        </w:rPr>
        <w:t xml:space="preserve"> . . . .</w:t>
      </w:r>
    </w:p>
    <w:p w:rsidR="00C37642" w:rsidRDefault="00574F9B" w:rsidP="00E61750">
      <w:pPr>
        <w:spacing w:line="480" w:lineRule="auto"/>
        <w:rPr>
          <w:rFonts w:cs="Arial"/>
        </w:rPr>
      </w:pPr>
      <w:r w:rsidRPr="00574F9B">
        <w:rPr>
          <w:rFonts w:cs="Arial"/>
          <w:u w:val="single"/>
        </w:rPr>
        <w:t>Fla</w:t>
      </w:r>
      <w:r w:rsidR="00FA5605">
        <w:rPr>
          <w:rFonts w:cs="Arial"/>
          <w:u w:val="single"/>
        </w:rPr>
        <w:t>.</w:t>
      </w:r>
      <w:r w:rsidRPr="00574F9B">
        <w:rPr>
          <w:rFonts w:cs="Arial"/>
          <w:u w:val="single"/>
        </w:rPr>
        <w:t xml:space="preserve"> Virtual Sch. v. K12, Inc.</w:t>
      </w:r>
      <w:r w:rsidRPr="00574F9B">
        <w:rPr>
          <w:rFonts w:cs="Arial"/>
        </w:rPr>
        <w:t xml:space="preserve">, </w:t>
      </w:r>
      <w:r w:rsidR="004D2C34">
        <w:rPr>
          <w:rFonts w:cs="Arial"/>
        </w:rPr>
        <w:t>148 So. 3d 97, 101-02</w:t>
      </w:r>
      <w:r w:rsidRPr="00574F9B">
        <w:rPr>
          <w:rFonts w:cs="Arial"/>
        </w:rPr>
        <w:t xml:space="preserve"> (Fla.</w:t>
      </w:r>
      <w:r w:rsidR="00612A6F">
        <w:rPr>
          <w:rFonts w:cs="Arial"/>
        </w:rPr>
        <w:t xml:space="preserve"> </w:t>
      </w:r>
      <w:r w:rsidRPr="00574F9B">
        <w:rPr>
          <w:rFonts w:cs="Arial"/>
        </w:rPr>
        <w:t>2014)</w:t>
      </w:r>
      <w:r>
        <w:rPr>
          <w:rFonts w:cs="Arial"/>
        </w:rPr>
        <w:t xml:space="preserve"> (emphasis added) (citations omitted) (internal quotation marks omitted); </w:t>
      </w:r>
      <w:r>
        <w:rPr>
          <w:rFonts w:cs="Arial"/>
          <w:u w:val="single"/>
        </w:rPr>
        <w:t>see also</w:t>
      </w:r>
      <w:r>
        <w:rPr>
          <w:rFonts w:cs="Arial"/>
        </w:rPr>
        <w:t xml:space="preserve"> </w:t>
      </w:r>
      <w:r w:rsidRPr="006C6E74">
        <w:rPr>
          <w:rFonts w:cs="Arial"/>
          <w:u w:val="single"/>
        </w:rPr>
        <w:t>Doe v. Dep</w:t>
      </w:r>
      <w:r w:rsidR="001D1E03">
        <w:rPr>
          <w:rFonts w:cs="Arial"/>
          <w:u w:val="single"/>
        </w:rPr>
        <w:t>'</w:t>
      </w:r>
      <w:r w:rsidRPr="006C6E74">
        <w:rPr>
          <w:rFonts w:cs="Arial"/>
          <w:u w:val="single"/>
        </w:rPr>
        <w:t>t of Health</w:t>
      </w:r>
      <w:r w:rsidRPr="006C6E74">
        <w:rPr>
          <w:rFonts w:cs="Arial"/>
        </w:rPr>
        <w:t>, 948 So. 2d 803, 808 (Fla. 2d DCA 2006)</w:t>
      </w:r>
      <w:r>
        <w:rPr>
          <w:rFonts w:cs="Arial"/>
        </w:rPr>
        <w:t xml:space="preserve"> (</w:t>
      </w:r>
      <w:r w:rsidR="001D1E03">
        <w:rPr>
          <w:rFonts w:cs="Arial"/>
        </w:rPr>
        <w:t>"</w:t>
      </w:r>
      <w:r>
        <w:rPr>
          <w:rFonts w:cs="Arial"/>
        </w:rPr>
        <w:t>W</w:t>
      </w:r>
      <w:r w:rsidR="00C37642" w:rsidRPr="006C6E74">
        <w:rPr>
          <w:rFonts w:cs="Arial"/>
        </w:rPr>
        <w:t xml:space="preserve">here possible, courts must give full effect to </w:t>
      </w:r>
      <w:r w:rsidR="00C37642" w:rsidRPr="00574F9B">
        <w:rPr>
          <w:rFonts w:cs="Arial"/>
        </w:rPr>
        <w:t xml:space="preserve">all statutory provisions </w:t>
      </w:r>
      <w:r w:rsidR="00C37642" w:rsidRPr="006C6E74">
        <w:rPr>
          <w:rFonts w:cs="Arial"/>
        </w:rPr>
        <w:t>and construe related statutory provisions in harmony with one another.</w:t>
      </w:r>
      <w:r w:rsidR="001D1E03">
        <w:rPr>
          <w:rFonts w:cs="Arial"/>
        </w:rPr>
        <w:t>"</w:t>
      </w:r>
      <w:r w:rsidR="00E57379">
        <w:rPr>
          <w:rFonts w:cs="Arial"/>
        </w:rPr>
        <w:t xml:space="preserve"> </w:t>
      </w:r>
      <w:r w:rsidR="00C37642">
        <w:rPr>
          <w:rFonts w:cs="Arial"/>
        </w:rPr>
        <w:t xml:space="preserve">(citing </w:t>
      </w:r>
      <w:r w:rsidR="00C37642" w:rsidRPr="006C6E74">
        <w:rPr>
          <w:rFonts w:cs="Arial"/>
          <w:iCs/>
          <w:u w:val="single"/>
        </w:rPr>
        <w:t>Forsythe v. Longboat Key Beach Erosion Control Dist.</w:t>
      </w:r>
      <w:r w:rsidR="00C37642" w:rsidRPr="006C6E74">
        <w:rPr>
          <w:rFonts w:cs="Arial"/>
          <w:iCs/>
        </w:rPr>
        <w:t>,</w:t>
      </w:r>
      <w:r w:rsidR="00C37642" w:rsidRPr="006C6E74">
        <w:rPr>
          <w:rFonts w:cs="Arial"/>
        </w:rPr>
        <w:t xml:space="preserve"> 604 So.</w:t>
      </w:r>
      <w:r w:rsidR="00C37642">
        <w:rPr>
          <w:rFonts w:cs="Arial"/>
        </w:rPr>
        <w:t xml:space="preserve"> </w:t>
      </w:r>
      <w:r w:rsidR="00C37642" w:rsidRPr="006C6E74">
        <w:rPr>
          <w:rFonts w:cs="Arial"/>
        </w:rPr>
        <w:t>2d 452, 455 (Fla.</w:t>
      </w:r>
      <w:r w:rsidR="00AB7996">
        <w:rPr>
          <w:rFonts w:cs="Arial"/>
        </w:rPr>
        <w:t xml:space="preserve"> </w:t>
      </w:r>
      <w:r w:rsidR="00C37642" w:rsidRPr="006C6E74">
        <w:rPr>
          <w:rFonts w:cs="Arial"/>
        </w:rPr>
        <w:t>1992</w:t>
      </w:r>
      <w:r>
        <w:rPr>
          <w:rFonts w:cs="Arial"/>
        </w:rPr>
        <w:t>)</w:t>
      </w:r>
      <w:r w:rsidR="00C37642" w:rsidRPr="006C6E74">
        <w:rPr>
          <w:rFonts w:cs="Arial"/>
        </w:rPr>
        <w:t>)</w:t>
      </w:r>
      <w:r w:rsidR="00C37642">
        <w:rPr>
          <w:rFonts w:cs="Arial"/>
        </w:rPr>
        <w:t xml:space="preserve">).  </w:t>
      </w:r>
    </w:p>
    <w:p w:rsidR="00C37642" w:rsidRPr="00325833" w:rsidRDefault="00087EC7" w:rsidP="00C37642">
      <w:pPr>
        <w:spacing w:line="480" w:lineRule="auto"/>
        <w:ind w:firstLine="1440"/>
        <w:rPr>
          <w:rFonts w:cs="Arial"/>
        </w:rPr>
      </w:pPr>
      <w:r>
        <w:rPr>
          <w:rFonts w:cs="Arial"/>
        </w:rPr>
        <w:t>Under FCRA</w:t>
      </w:r>
      <w:r w:rsidR="00C37642">
        <w:rPr>
          <w:rFonts w:cs="Arial"/>
        </w:rPr>
        <w:t>:</w:t>
      </w:r>
    </w:p>
    <w:p w:rsidR="00C37642" w:rsidRPr="00E40698" w:rsidRDefault="001D1E03" w:rsidP="00C37642">
      <w:pPr>
        <w:ind w:left="1440" w:right="1440" w:firstLine="720"/>
        <w:rPr>
          <w:rFonts w:cs="Arial"/>
        </w:rPr>
      </w:pPr>
      <w:r>
        <w:rPr>
          <w:rFonts w:cs="Arial"/>
        </w:rPr>
        <w:t>"</w:t>
      </w:r>
      <w:r w:rsidR="00C37642" w:rsidRPr="00E40698">
        <w:rPr>
          <w:rFonts w:cs="Arial"/>
        </w:rPr>
        <w:t>Public accommodations</w:t>
      </w:r>
      <w:r>
        <w:rPr>
          <w:rFonts w:cs="Arial"/>
        </w:rPr>
        <w:t>"</w:t>
      </w:r>
      <w:r w:rsidR="00C37642" w:rsidRPr="00E40698">
        <w:rPr>
          <w:rFonts w:cs="Arial"/>
        </w:rPr>
        <w:t xml:space="preserve"> means places of public accommodation, lodgings, </w:t>
      </w:r>
      <w:r w:rsidR="00C37642" w:rsidRPr="00E40698">
        <w:rPr>
          <w:rFonts w:cs="Arial"/>
          <w:u w:val="single"/>
        </w:rPr>
        <w:t>facilities principally engaged</w:t>
      </w:r>
      <w:r w:rsidR="00C37642" w:rsidRPr="00E40698">
        <w:rPr>
          <w:rFonts w:cs="Arial"/>
        </w:rPr>
        <w:t xml:space="preserve"> in selling food for consumption on the </w:t>
      </w:r>
      <w:proofErr w:type="gramStart"/>
      <w:r w:rsidR="00C37642" w:rsidRPr="00E40698">
        <w:rPr>
          <w:rFonts w:cs="Arial"/>
        </w:rPr>
        <w:t>premises,</w:t>
      </w:r>
      <w:r w:rsidR="00C37642">
        <w:rPr>
          <w:rFonts w:cs="Arial"/>
        </w:rPr>
        <w:t xml:space="preserve"> . . .</w:t>
      </w:r>
      <w:proofErr w:type="gramEnd"/>
      <w:r w:rsidR="00C37642">
        <w:rPr>
          <w:rFonts w:cs="Arial"/>
        </w:rPr>
        <w:t xml:space="preserve"> </w:t>
      </w:r>
      <w:r w:rsidR="00C37642" w:rsidRPr="00E40698">
        <w:rPr>
          <w:rFonts w:cs="Arial"/>
          <w:u w:val="single"/>
        </w:rPr>
        <w:t>and other covered establishments</w:t>
      </w:r>
      <w:r w:rsidR="00C37642" w:rsidRPr="00E40698">
        <w:rPr>
          <w:rFonts w:cs="Arial"/>
        </w:rPr>
        <w:t xml:space="preserve">. </w:t>
      </w:r>
      <w:r w:rsidR="00C37642">
        <w:rPr>
          <w:rFonts w:cs="Arial"/>
        </w:rPr>
        <w:t xml:space="preserve"> </w:t>
      </w:r>
      <w:r w:rsidR="00C37642" w:rsidRPr="00E40698">
        <w:rPr>
          <w:rFonts w:cs="Arial"/>
        </w:rPr>
        <w:t xml:space="preserve">Each of the following </w:t>
      </w:r>
      <w:r w:rsidR="00C37642" w:rsidRPr="00E40698">
        <w:rPr>
          <w:rFonts w:cs="Arial"/>
        </w:rPr>
        <w:lastRenderedPageBreak/>
        <w:t>establishments which serves the public is a place of public accommodation within the meaning of this section:</w:t>
      </w:r>
    </w:p>
    <w:p w:rsidR="00C37642" w:rsidRDefault="00E61750" w:rsidP="00C37642">
      <w:pPr>
        <w:ind w:left="1440" w:right="1440" w:firstLine="720"/>
        <w:rPr>
          <w:rFonts w:cs="Arial"/>
        </w:rPr>
      </w:pPr>
      <w:r>
        <w:rPr>
          <w:rFonts w:cs="Arial"/>
        </w:rPr>
        <w:t>. . . .</w:t>
      </w:r>
    </w:p>
    <w:p w:rsidR="00C37642" w:rsidRDefault="00C37642" w:rsidP="00C37642">
      <w:pPr>
        <w:ind w:left="1440" w:right="1440" w:firstLine="720"/>
        <w:rPr>
          <w:rFonts w:cs="Arial"/>
        </w:rPr>
      </w:pPr>
      <w:r w:rsidRPr="00E40698">
        <w:rPr>
          <w:rFonts w:cs="Arial"/>
        </w:rPr>
        <w:t>(b) Any restaurant, cafeteria, lunchroom, lunch counter, soda fountain, or other facility principally engaged in selling food for consumption on the premises</w:t>
      </w:r>
      <w:r w:rsidR="00087EC7">
        <w:rPr>
          <w:rFonts w:cs="Arial"/>
        </w:rPr>
        <w:t>.</w:t>
      </w:r>
      <w:r>
        <w:rPr>
          <w:rFonts w:cs="Arial"/>
        </w:rPr>
        <w:t xml:space="preserve"> . . .</w:t>
      </w:r>
    </w:p>
    <w:p w:rsidR="00C37642" w:rsidRPr="00E40698" w:rsidRDefault="00E61750" w:rsidP="004D2C34">
      <w:pPr>
        <w:spacing w:before="240" w:after="240"/>
        <w:ind w:left="1440" w:right="1440" w:firstLine="720"/>
        <w:rPr>
          <w:rFonts w:cs="Arial"/>
        </w:rPr>
      </w:pPr>
      <w:r>
        <w:rPr>
          <w:rFonts w:cs="Arial"/>
        </w:rPr>
        <w:t xml:space="preserve">. . . . </w:t>
      </w:r>
    </w:p>
    <w:p w:rsidR="00C37642" w:rsidRPr="00E40698" w:rsidRDefault="00C37642" w:rsidP="00AE2C57">
      <w:pPr>
        <w:spacing w:after="240"/>
        <w:ind w:left="1440" w:right="1440" w:firstLine="720"/>
        <w:rPr>
          <w:rFonts w:cs="Arial"/>
        </w:rPr>
      </w:pPr>
      <w:r w:rsidRPr="00E40698">
        <w:rPr>
          <w:rFonts w:cs="Arial"/>
        </w:rPr>
        <w:t xml:space="preserve"> (d) Any establishment which is physically located within the premises of any establishment otherwise covered by this subsection, or </w:t>
      </w:r>
      <w:r w:rsidRPr="00FC51E8">
        <w:rPr>
          <w:rFonts w:cs="Arial"/>
          <w:u w:val="single"/>
        </w:rPr>
        <w:t>within the premises of which is physically located any such covered establishment</w:t>
      </w:r>
      <w:r w:rsidRPr="00FC51E8">
        <w:rPr>
          <w:rFonts w:cs="Arial"/>
        </w:rPr>
        <w:t xml:space="preserve">, </w:t>
      </w:r>
      <w:r w:rsidRPr="00E40698">
        <w:rPr>
          <w:rFonts w:cs="Arial"/>
        </w:rPr>
        <w:t>and which holds itself out as serving patrons of such covered establishment.</w:t>
      </w:r>
    </w:p>
    <w:p w:rsidR="00C37642" w:rsidRDefault="00C37642" w:rsidP="00C37642">
      <w:pPr>
        <w:spacing w:line="480" w:lineRule="auto"/>
        <w:rPr>
          <w:rFonts w:cs="Arial"/>
        </w:rPr>
      </w:pPr>
      <w:r w:rsidRPr="00E40698">
        <w:rPr>
          <w:rFonts w:cs="Arial"/>
        </w:rPr>
        <w:t>§ 760.02</w:t>
      </w:r>
      <w:r w:rsidR="00AE2C57">
        <w:rPr>
          <w:rFonts w:cs="Arial"/>
        </w:rPr>
        <w:t xml:space="preserve"> </w:t>
      </w:r>
      <w:r>
        <w:rPr>
          <w:rFonts w:cs="Arial"/>
        </w:rPr>
        <w:t xml:space="preserve">(emphases added).  Section </w:t>
      </w:r>
      <w:r w:rsidRPr="00805512">
        <w:rPr>
          <w:rFonts w:cs="Arial"/>
        </w:rPr>
        <w:t>509.013</w:t>
      </w:r>
      <w:r w:rsidR="00AE2C57">
        <w:rPr>
          <w:rFonts w:cs="Arial"/>
        </w:rPr>
        <w:t xml:space="preserve"> </w:t>
      </w:r>
      <w:r>
        <w:rPr>
          <w:rFonts w:cs="Arial"/>
        </w:rPr>
        <w:t xml:space="preserve">reads: </w:t>
      </w:r>
    </w:p>
    <w:p w:rsidR="00C37642" w:rsidRPr="00C12464" w:rsidRDefault="00C37642" w:rsidP="004D2C34">
      <w:pPr>
        <w:spacing w:after="240"/>
        <w:ind w:left="1440" w:right="1440" w:firstLine="720"/>
        <w:rPr>
          <w:rFonts w:cs="Arial"/>
        </w:rPr>
      </w:pPr>
      <w:r w:rsidRPr="00C12464">
        <w:rPr>
          <w:rFonts w:cs="Arial"/>
        </w:rPr>
        <w:t xml:space="preserve">(5)(a) </w:t>
      </w:r>
      <w:r w:rsidR="001D1E03">
        <w:rPr>
          <w:rFonts w:cs="Arial"/>
        </w:rPr>
        <w:t>"</w:t>
      </w:r>
      <w:r w:rsidRPr="00C12464">
        <w:rPr>
          <w:rFonts w:cs="Arial"/>
        </w:rPr>
        <w:t>Public food service establishment</w:t>
      </w:r>
      <w:r w:rsidR="001D1E03">
        <w:rPr>
          <w:rFonts w:cs="Arial"/>
        </w:rPr>
        <w:t>"</w:t>
      </w:r>
      <w:r w:rsidRPr="00C12464">
        <w:rPr>
          <w:rFonts w:cs="Arial"/>
        </w:rPr>
        <w:t xml:space="preserve"> means any building, vehicle, place, or structure, or any room or division in a building, vehicle, place, or structure where food is prepared, served, or sold for immediate consumption on or in the vicinity of the premises; called for or taken out by customers; or prepared prior to being delivered to another location for consumption.</w:t>
      </w:r>
    </w:p>
    <w:p w:rsidR="00C37642" w:rsidRPr="00AE2C57" w:rsidRDefault="00C37642" w:rsidP="00C37642">
      <w:pPr>
        <w:ind w:left="1440" w:right="1440" w:firstLine="720"/>
        <w:rPr>
          <w:rFonts w:cs="Arial"/>
          <w:u w:val="single"/>
        </w:rPr>
      </w:pPr>
      <w:r w:rsidRPr="00AE2C57">
        <w:rPr>
          <w:rFonts w:cs="Arial"/>
          <w:u w:val="single"/>
        </w:rPr>
        <w:t>(b) The following are excluded from the definition in paragraph (a):</w:t>
      </w:r>
    </w:p>
    <w:p w:rsidR="00C37642" w:rsidRPr="00AE2C57" w:rsidRDefault="00E61750" w:rsidP="004D2C34">
      <w:pPr>
        <w:spacing w:before="240" w:after="240"/>
        <w:ind w:left="1440" w:right="1440" w:firstLine="720"/>
        <w:rPr>
          <w:rFonts w:cs="Arial"/>
        </w:rPr>
      </w:pPr>
      <w:r>
        <w:rPr>
          <w:rFonts w:cs="Arial"/>
        </w:rPr>
        <w:t xml:space="preserve">. . . . </w:t>
      </w:r>
    </w:p>
    <w:p w:rsidR="00C37642" w:rsidRPr="00AE2C57" w:rsidRDefault="00C37642" w:rsidP="00AE2C57">
      <w:pPr>
        <w:spacing w:after="240"/>
        <w:ind w:left="1800" w:right="1440" w:firstLine="810"/>
        <w:rPr>
          <w:rFonts w:cs="Arial"/>
          <w:u w:val="single"/>
        </w:rPr>
      </w:pPr>
      <w:r w:rsidRPr="00AE2C57">
        <w:rPr>
          <w:rFonts w:cs="Arial"/>
          <w:u w:val="single"/>
        </w:rPr>
        <w:t>4. Any eating place maintained by a facility certified or licensed and regulated by the Agency for Health Care Administration or the Department of Children and Family Services or other similar place that is regulated under s. 381.0072.</w:t>
      </w:r>
    </w:p>
    <w:p w:rsidR="00AB7996" w:rsidRPr="00E61750" w:rsidRDefault="00AE2C57" w:rsidP="00B45B30">
      <w:pPr>
        <w:spacing w:line="480" w:lineRule="auto"/>
        <w:rPr>
          <w:rFonts w:cs="Arial"/>
          <w:u w:val="single"/>
        </w:rPr>
      </w:pPr>
      <w:r>
        <w:rPr>
          <w:rFonts w:cs="Arial"/>
        </w:rPr>
        <w:t>(Emphasis added).  Marchman argues that based on section 760.02</w:t>
      </w:r>
      <w:r w:rsidR="00E57379">
        <w:rPr>
          <w:rFonts w:cs="Arial"/>
        </w:rPr>
        <w:t xml:space="preserve">, particularly as discussed by </w:t>
      </w:r>
      <w:r w:rsidR="00E57379">
        <w:rPr>
          <w:rFonts w:cs="Arial"/>
          <w:u w:val="single"/>
        </w:rPr>
        <w:t>Mena I</w:t>
      </w:r>
      <w:r w:rsidR="00E57379">
        <w:rPr>
          <w:rFonts w:cs="Arial"/>
        </w:rPr>
        <w:t xml:space="preserve">, </w:t>
      </w:r>
      <w:r>
        <w:rPr>
          <w:rFonts w:cs="Arial"/>
        </w:rPr>
        <w:t xml:space="preserve">we should hold that </w:t>
      </w:r>
      <w:r w:rsidR="00E57379">
        <w:rPr>
          <w:rFonts w:cs="Arial"/>
        </w:rPr>
        <w:t xml:space="preserve">because </w:t>
      </w:r>
      <w:r>
        <w:rPr>
          <w:rFonts w:cs="Arial"/>
        </w:rPr>
        <w:t>St. Anthony</w:t>
      </w:r>
      <w:r w:rsidR="001D1E03">
        <w:rPr>
          <w:rFonts w:cs="Arial"/>
        </w:rPr>
        <w:t>'</w:t>
      </w:r>
      <w:r>
        <w:rPr>
          <w:rFonts w:cs="Arial"/>
        </w:rPr>
        <w:t xml:space="preserve">s has </w:t>
      </w:r>
      <w:r w:rsidR="00AB7996">
        <w:rPr>
          <w:rFonts w:cs="Arial"/>
        </w:rPr>
        <w:t xml:space="preserve">an </w:t>
      </w:r>
      <w:r>
        <w:rPr>
          <w:rFonts w:cs="Arial"/>
        </w:rPr>
        <w:t>onsite cafeteria, coffee shop</w:t>
      </w:r>
      <w:r w:rsidR="00B26155">
        <w:rPr>
          <w:rFonts w:cs="Arial"/>
        </w:rPr>
        <w:t>,</w:t>
      </w:r>
      <w:r>
        <w:rPr>
          <w:rFonts w:cs="Arial"/>
        </w:rPr>
        <w:t xml:space="preserve"> and vending machines covered by FCRA, St. Anthony</w:t>
      </w:r>
      <w:r w:rsidR="001D1E03">
        <w:rPr>
          <w:rFonts w:cs="Arial"/>
        </w:rPr>
        <w:t>'</w:t>
      </w:r>
      <w:r>
        <w:rPr>
          <w:rFonts w:cs="Arial"/>
        </w:rPr>
        <w:t xml:space="preserve">s itself is </w:t>
      </w:r>
      <w:r>
        <w:rPr>
          <w:rFonts w:cs="Arial"/>
        </w:rPr>
        <w:lastRenderedPageBreak/>
        <w:t>governed by FCRA.</w:t>
      </w:r>
      <w:r>
        <w:rPr>
          <w:rStyle w:val="FootnoteReference"/>
          <w:rFonts w:cs="Arial"/>
        </w:rPr>
        <w:footnoteReference w:id="2"/>
      </w:r>
      <w:r>
        <w:rPr>
          <w:rFonts w:cs="Arial"/>
        </w:rPr>
        <w:t xml:space="preserve">  But t</w:t>
      </w:r>
      <w:r w:rsidR="00C37642">
        <w:rPr>
          <w:rFonts w:cs="Arial"/>
        </w:rPr>
        <w:t>o read section 760.02 in the way that Marchman beseeches requires that we turn a blind eye to the text of section 509.013.  The latter section specifically excludes from its definition eating places maintained by facilities certified or licensed and regulated by the Agency for Health Care Administration</w:t>
      </w:r>
      <w:r w:rsidR="00986D60">
        <w:rPr>
          <w:rFonts w:cs="Arial"/>
        </w:rPr>
        <w:t xml:space="preserve"> (AHCA)</w:t>
      </w:r>
      <w:r w:rsidR="00C37642">
        <w:rPr>
          <w:rFonts w:cs="Arial"/>
        </w:rPr>
        <w:t xml:space="preserve">.  </w:t>
      </w:r>
      <w:r w:rsidR="00E57379" w:rsidRPr="00E57379">
        <w:rPr>
          <w:rFonts w:cs="Arial"/>
        </w:rPr>
        <w:t>§</w:t>
      </w:r>
      <w:r w:rsidR="00E57379">
        <w:rPr>
          <w:rFonts w:cs="Arial"/>
        </w:rPr>
        <w:t xml:space="preserve"> 509.013(5)(b)(4).  </w:t>
      </w:r>
      <w:r w:rsidR="00C37642">
        <w:rPr>
          <w:rFonts w:cs="Arial"/>
        </w:rPr>
        <w:t>And because the latter provision is more specific, to give it effect does not do harm to the remainder of the statute</w:t>
      </w:r>
      <w:r w:rsidR="005D0A27">
        <w:rPr>
          <w:rFonts w:cs="Arial"/>
        </w:rPr>
        <w:t xml:space="preserve">.  </w:t>
      </w:r>
      <w:r w:rsidR="00C37642">
        <w:rPr>
          <w:rFonts w:cs="Arial"/>
        </w:rPr>
        <w:t>True, section 760.02 is written to cast a wide net, as is</w:t>
      </w:r>
      <w:r>
        <w:rPr>
          <w:rFonts w:cs="Arial"/>
        </w:rPr>
        <w:t xml:space="preserve"> its federal counterpart.  B</w:t>
      </w:r>
      <w:r w:rsidR="00C37642">
        <w:rPr>
          <w:rFonts w:cs="Arial"/>
        </w:rPr>
        <w:t>ut we must still give effect to the Legislature</w:t>
      </w:r>
      <w:r w:rsidR="001D1E03">
        <w:rPr>
          <w:rFonts w:cs="Arial"/>
        </w:rPr>
        <w:t>'</w:t>
      </w:r>
      <w:r w:rsidR="00C37642">
        <w:rPr>
          <w:rFonts w:cs="Arial"/>
        </w:rPr>
        <w:t xml:space="preserve">s other dictates.  </w:t>
      </w:r>
      <w:r>
        <w:rPr>
          <w:rFonts w:cs="Arial"/>
        </w:rPr>
        <w:t xml:space="preserve">Moreover, </w:t>
      </w:r>
      <w:r w:rsidR="00C37642">
        <w:rPr>
          <w:rFonts w:cs="Arial"/>
        </w:rPr>
        <w:t xml:space="preserve">to the extent public policy is a factor, giving effect to the latter provision effectuates a policy of not having hospitals doubly regulated: first by </w:t>
      </w:r>
      <w:r w:rsidR="00986D60">
        <w:rPr>
          <w:rFonts w:cs="Arial"/>
        </w:rPr>
        <w:t>AHCA</w:t>
      </w:r>
      <w:r w:rsidR="00C37642">
        <w:rPr>
          <w:rFonts w:cs="Arial"/>
        </w:rPr>
        <w:t xml:space="preserve"> and second by the Commission.</w:t>
      </w:r>
      <w:r>
        <w:rPr>
          <w:rFonts w:cs="Arial"/>
        </w:rPr>
        <w:t xml:space="preserve">  </w:t>
      </w:r>
      <w:r w:rsidR="00E61750">
        <w:rPr>
          <w:rFonts w:cs="Arial"/>
        </w:rPr>
        <w:t>We note that our decision is in accord with the Third District</w:t>
      </w:r>
      <w:r w:rsidR="001D1E03">
        <w:rPr>
          <w:rFonts w:cs="Arial"/>
        </w:rPr>
        <w:t>'</w:t>
      </w:r>
      <w:r w:rsidR="00E61750">
        <w:rPr>
          <w:rFonts w:cs="Arial"/>
        </w:rPr>
        <w:t xml:space="preserve">s recent opinion on like facts and based on similar reasoning.  </w:t>
      </w:r>
      <w:r w:rsidR="00E61750">
        <w:rPr>
          <w:rFonts w:cs="Arial"/>
          <w:u w:val="single"/>
        </w:rPr>
        <w:t>See</w:t>
      </w:r>
      <w:r w:rsidR="00E61750">
        <w:rPr>
          <w:rFonts w:cs="Arial"/>
        </w:rPr>
        <w:t xml:space="preserve"> </w:t>
      </w:r>
      <w:r w:rsidR="00E61750" w:rsidRPr="00E61750">
        <w:rPr>
          <w:rFonts w:cs="Arial"/>
          <w:u w:val="single"/>
        </w:rPr>
        <w:t xml:space="preserve">Crane v. </w:t>
      </w:r>
      <w:proofErr w:type="spellStart"/>
      <w:r w:rsidR="00E61750" w:rsidRPr="00E61750">
        <w:rPr>
          <w:rFonts w:cs="Arial"/>
          <w:u w:val="single"/>
        </w:rPr>
        <w:t>Lifemark</w:t>
      </w:r>
      <w:proofErr w:type="spellEnd"/>
      <w:r w:rsidR="00E61750" w:rsidRPr="00E61750">
        <w:rPr>
          <w:rFonts w:cs="Arial"/>
          <w:u w:val="single"/>
        </w:rPr>
        <w:t xml:space="preserve"> </w:t>
      </w:r>
      <w:r w:rsidR="006722C2" w:rsidRPr="00E61750">
        <w:rPr>
          <w:rFonts w:cs="Arial"/>
          <w:u w:val="single"/>
        </w:rPr>
        <w:t>Hosp</w:t>
      </w:r>
      <w:r w:rsidR="004D2C34">
        <w:rPr>
          <w:rFonts w:cs="Arial"/>
          <w:u w:val="single"/>
        </w:rPr>
        <w:t>.</w:t>
      </w:r>
      <w:r w:rsidR="00E61750" w:rsidRPr="00E61750">
        <w:rPr>
          <w:rFonts w:cs="Arial"/>
          <w:u w:val="single"/>
        </w:rPr>
        <w:t xml:space="preserve"> of Fla</w:t>
      </w:r>
      <w:r w:rsidR="004D2C34">
        <w:rPr>
          <w:rFonts w:cs="Arial"/>
          <w:u w:val="single"/>
        </w:rPr>
        <w:t>.</w:t>
      </w:r>
      <w:r w:rsidR="00E61750" w:rsidRPr="00E61750">
        <w:rPr>
          <w:rFonts w:cs="Arial"/>
          <w:u w:val="single"/>
        </w:rPr>
        <w:t>, Inc.</w:t>
      </w:r>
      <w:r w:rsidR="00E61750" w:rsidRPr="00E61750">
        <w:rPr>
          <w:rFonts w:cs="Arial"/>
        </w:rPr>
        <w:t xml:space="preserve">, </w:t>
      </w:r>
      <w:r w:rsidR="00144BFE" w:rsidRPr="00144BFE">
        <w:rPr>
          <w:rFonts w:cs="Arial"/>
        </w:rPr>
        <w:t>39 Fla. L. Weekly D2185, D2185</w:t>
      </w:r>
      <w:r w:rsidR="00E61750" w:rsidRPr="00E61750">
        <w:rPr>
          <w:rFonts w:cs="Arial"/>
        </w:rPr>
        <w:t xml:space="preserve"> n.2 (Fla. 3d DCA Oct. 15, 2014)</w:t>
      </w:r>
      <w:r w:rsidR="00E61750">
        <w:rPr>
          <w:rFonts w:cs="Arial"/>
        </w:rPr>
        <w:t>.</w:t>
      </w:r>
    </w:p>
    <w:p w:rsidR="00C55D82" w:rsidRDefault="00AB7996" w:rsidP="00AB7996">
      <w:pPr>
        <w:spacing w:line="480" w:lineRule="auto"/>
        <w:ind w:firstLine="1440"/>
      </w:pPr>
      <w:r>
        <w:rPr>
          <w:rFonts w:cs="Arial"/>
        </w:rPr>
        <w:t>Because the Commission correctly dismissed the action for lack of jurisdiction, we</w:t>
      </w:r>
      <w:r w:rsidR="00B45B30">
        <w:rPr>
          <w:rFonts w:cs="Arial"/>
        </w:rPr>
        <w:t xml:space="preserve"> affirm.</w:t>
      </w:r>
      <w:r w:rsidR="00B45B30">
        <w:t xml:space="preserve"> </w:t>
      </w:r>
    </w:p>
    <w:p w:rsidR="00AB7996" w:rsidRDefault="00AB7996" w:rsidP="00B45B30">
      <w:pPr>
        <w:spacing w:line="480" w:lineRule="auto"/>
      </w:pPr>
    </w:p>
    <w:p w:rsidR="00C66CED" w:rsidRDefault="005F016B">
      <w:r>
        <w:t>ALTENBERND</w:t>
      </w:r>
      <w:r w:rsidR="00C37642" w:rsidRPr="00C37642">
        <w:t xml:space="preserve"> and</w:t>
      </w:r>
      <w:r>
        <w:t xml:space="preserve"> </w:t>
      </w:r>
      <w:r w:rsidR="0009674C" w:rsidRPr="0009674C">
        <w:t>NORTHCUTT,</w:t>
      </w:r>
      <w:r w:rsidR="00C37642" w:rsidRPr="0009674C">
        <w:t xml:space="preserve"> </w:t>
      </w:r>
      <w:r w:rsidR="0022728C" w:rsidRPr="0009674C">
        <w:t>JJ., Concur</w:t>
      </w:r>
      <w:r w:rsidR="0022728C">
        <w:t>.</w:t>
      </w:r>
    </w:p>
    <w:sectPr w:rsidR="00C66CED" w:rsidSect="00C55D8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91B" w:rsidRDefault="00A6291B">
      <w:r>
        <w:separator/>
      </w:r>
    </w:p>
  </w:endnote>
  <w:endnote w:type="continuationSeparator" w:id="0">
    <w:p w:rsidR="00A6291B" w:rsidRDefault="00A62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EF" w:rsidRDefault="004E62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209" w:rsidRDefault="00B52209">
    <w:pPr>
      <w:pStyle w:val="Footer"/>
    </w:pPr>
  </w:p>
  <w:p w:rsidR="00B52209" w:rsidRDefault="00B52209" w:rsidP="00C55D82">
    <w:pPr>
      <w:pStyle w:val="Footer"/>
      <w:jc w:val="center"/>
    </w:pPr>
    <w:r>
      <w:rPr>
        <w:rStyle w:val="PageNumber"/>
      </w:rPr>
      <w:fldChar w:fldCharType="begin"/>
    </w:r>
    <w:r>
      <w:rPr>
        <w:rStyle w:val="PageNumber"/>
      </w:rPr>
      <w:instrText xml:space="preserve"> PAGE </w:instrText>
    </w:r>
    <w:r>
      <w:rPr>
        <w:rStyle w:val="PageNumber"/>
      </w:rPr>
      <w:fldChar w:fldCharType="separate"/>
    </w:r>
    <w:r w:rsidR="00FA07BB">
      <w:rPr>
        <w:rStyle w:val="PageNumber"/>
        <w:noProof/>
      </w:rPr>
      <w:t>- 5 -</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EF" w:rsidRDefault="004E62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91B" w:rsidRDefault="00A6291B">
      <w:r>
        <w:separator/>
      </w:r>
    </w:p>
  </w:footnote>
  <w:footnote w:type="continuationSeparator" w:id="0">
    <w:p w:rsidR="00A6291B" w:rsidRDefault="00A6291B">
      <w:r>
        <w:continuationSeparator/>
      </w:r>
    </w:p>
  </w:footnote>
  <w:footnote w:id="1">
    <w:p w:rsidR="00B63EA8" w:rsidRPr="00B63EA8" w:rsidRDefault="00B63EA8" w:rsidP="00B63EA8">
      <w:pPr>
        <w:pStyle w:val="FootnoteText"/>
        <w:spacing w:before="0"/>
        <w:ind w:firstLine="1440"/>
      </w:pPr>
      <w:r>
        <w:rPr>
          <w:rStyle w:val="FootnoteReference"/>
        </w:rPr>
        <w:footnoteRef/>
      </w:r>
      <w:r>
        <w:rPr>
          <w:u w:val="single"/>
        </w:rPr>
        <w:t>Mena</w:t>
      </w:r>
      <w:r>
        <w:t xml:space="preserve"> did not refer to the statute year but the statute has not been amended since 2003.</w:t>
      </w:r>
    </w:p>
  </w:footnote>
  <w:footnote w:id="2">
    <w:p w:rsidR="00AE2C57" w:rsidRDefault="00AE2C57" w:rsidP="00E61750">
      <w:pPr>
        <w:pStyle w:val="FootnoteText"/>
        <w:spacing w:before="0"/>
        <w:ind w:firstLine="1440"/>
      </w:pPr>
      <w:r>
        <w:rPr>
          <w:rStyle w:val="FootnoteReference"/>
        </w:rPr>
        <w:footnoteRef/>
      </w:r>
      <w:r w:rsidR="00E61750">
        <w:t xml:space="preserve">Like the Third District in </w:t>
      </w:r>
      <w:r w:rsidR="00E61750">
        <w:rPr>
          <w:u w:val="single"/>
        </w:rPr>
        <w:t xml:space="preserve">Crane v. </w:t>
      </w:r>
      <w:proofErr w:type="spellStart"/>
      <w:r w:rsidR="00E61750">
        <w:rPr>
          <w:u w:val="single"/>
        </w:rPr>
        <w:t>Lifemark</w:t>
      </w:r>
      <w:proofErr w:type="spellEnd"/>
      <w:r w:rsidR="00E61750">
        <w:rPr>
          <w:u w:val="single"/>
        </w:rPr>
        <w:t xml:space="preserve"> </w:t>
      </w:r>
      <w:r w:rsidR="00431426">
        <w:rPr>
          <w:u w:val="single"/>
        </w:rPr>
        <w:t>Hospital</w:t>
      </w:r>
      <w:r w:rsidR="00E61750">
        <w:rPr>
          <w:u w:val="single"/>
        </w:rPr>
        <w:t xml:space="preserve"> of Florida, Inc.</w:t>
      </w:r>
      <w:r w:rsidR="00E61750">
        <w:t>,</w:t>
      </w:r>
      <w:r w:rsidR="004D2C34">
        <w:t xml:space="preserve"> 39 Fla. L. Weekly D2185, D2185</w:t>
      </w:r>
      <w:r w:rsidR="00E61750">
        <w:t xml:space="preserve"> n.2 (Fla. 3d DCA Oct. 15, 2014), we do not reach </w:t>
      </w:r>
      <w:r w:rsidR="00803DD3">
        <w:t xml:space="preserve">the issue of </w:t>
      </w:r>
      <w:r w:rsidR="00E61750">
        <w:t xml:space="preserve">whether </w:t>
      </w:r>
      <w:r w:rsidR="001D1E03">
        <w:t>"</w:t>
      </w:r>
      <w:r w:rsidR="00E61750" w:rsidRPr="00E61750">
        <w:t xml:space="preserve">a covered cafeteria within a hospital would cause the hospital to qualify as a </w:t>
      </w:r>
      <w:r w:rsidR="001D1E03">
        <w:t>'</w:t>
      </w:r>
      <w:r w:rsidR="00E61750" w:rsidRPr="00E61750">
        <w:t>covered establishment.</w:t>
      </w:r>
      <w:r w:rsidR="001D1E03">
        <w:t>'</w:t>
      </w:r>
      <w:r w:rsidR="00E61750">
        <w:t xml:space="preserve"> </w:t>
      </w:r>
      <w:r w:rsidR="001D1E0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EF" w:rsidRDefault="004E6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EF" w:rsidRDefault="004E6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EF" w:rsidRDefault="004E62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82"/>
    <w:rsid w:val="00011077"/>
    <w:rsid w:val="00016056"/>
    <w:rsid w:val="0002590C"/>
    <w:rsid w:val="00051830"/>
    <w:rsid w:val="00075067"/>
    <w:rsid w:val="00087EC7"/>
    <w:rsid w:val="0009674C"/>
    <w:rsid w:val="00113420"/>
    <w:rsid w:val="00113683"/>
    <w:rsid w:val="001138E4"/>
    <w:rsid w:val="00114A88"/>
    <w:rsid w:val="00122C66"/>
    <w:rsid w:val="00144BFE"/>
    <w:rsid w:val="0018339F"/>
    <w:rsid w:val="001A7462"/>
    <w:rsid w:val="001C2D8A"/>
    <w:rsid w:val="001C5495"/>
    <w:rsid w:val="001D1E03"/>
    <w:rsid w:val="00207A1A"/>
    <w:rsid w:val="00217D63"/>
    <w:rsid w:val="0022728C"/>
    <w:rsid w:val="002331B3"/>
    <w:rsid w:val="002A422E"/>
    <w:rsid w:val="002C1829"/>
    <w:rsid w:val="002D79FE"/>
    <w:rsid w:val="002F6EA8"/>
    <w:rsid w:val="00362934"/>
    <w:rsid w:val="003657C3"/>
    <w:rsid w:val="00371F13"/>
    <w:rsid w:val="00381B46"/>
    <w:rsid w:val="003840B0"/>
    <w:rsid w:val="003C137A"/>
    <w:rsid w:val="003C75B5"/>
    <w:rsid w:val="003F122A"/>
    <w:rsid w:val="00411359"/>
    <w:rsid w:val="004178B5"/>
    <w:rsid w:val="00431426"/>
    <w:rsid w:val="00450497"/>
    <w:rsid w:val="00455658"/>
    <w:rsid w:val="00475923"/>
    <w:rsid w:val="00485E71"/>
    <w:rsid w:val="004A3AA8"/>
    <w:rsid w:val="004D2C34"/>
    <w:rsid w:val="004E62EF"/>
    <w:rsid w:val="00512BBA"/>
    <w:rsid w:val="0056233B"/>
    <w:rsid w:val="005628B6"/>
    <w:rsid w:val="005641F0"/>
    <w:rsid w:val="00574F9B"/>
    <w:rsid w:val="00580056"/>
    <w:rsid w:val="0059772E"/>
    <w:rsid w:val="005D0A27"/>
    <w:rsid w:val="005F016B"/>
    <w:rsid w:val="00612A6F"/>
    <w:rsid w:val="006147C4"/>
    <w:rsid w:val="00616F49"/>
    <w:rsid w:val="00636BFC"/>
    <w:rsid w:val="00645CB7"/>
    <w:rsid w:val="00647978"/>
    <w:rsid w:val="00665996"/>
    <w:rsid w:val="006722C2"/>
    <w:rsid w:val="006D348A"/>
    <w:rsid w:val="006F2E8C"/>
    <w:rsid w:val="00735860"/>
    <w:rsid w:val="007C25F4"/>
    <w:rsid w:val="007E360B"/>
    <w:rsid w:val="007E3D33"/>
    <w:rsid w:val="007E50FF"/>
    <w:rsid w:val="00803BCE"/>
    <w:rsid w:val="00803DD3"/>
    <w:rsid w:val="008059A9"/>
    <w:rsid w:val="00810DD5"/>
    <w:rsid w:val="0084369B"/>
    <w:rsid w:val="008629EF"/>
    <w:rsid w:val="00876057"/>
    <w:rsid w:val="00876108"/>
    <w:rsid w:val="008A7495"/>
    <w:rsid w:val="008B584D"/>
    <w:rsid w:val="008D73B5"/>
    <w:rsid w:val="008F6C18"/>
    <w:rsid w:val="009146AC"/>
    <w:rsid w:val="00920B24"/>
    <w:rsid w:val="009248E8"/>
    <w:rsid w:val="00946155"/>
    <w:rsid w:val="00980BE4"/>
    <w:rsid w:val="00986D60"/>
    <w:rsid w:val="009A28FC"/>
    <w:rsid w:val="009C6DC2"/>
    <w:rsid w:val="009D1A6B"/>
    <w:rsid w:val="00A271C1"/>
    <w:rsid w:val="00A419E6"/>
    <w:rsid w:val="00A576A3"/>
    <w:rsid w:val="00A6291B"/>
    <w:rsid w:val="00A64609"/>
    <w:rsid w:val="00A97354"/>
    <w:rsid w:val="00AA7DB1"/>
    <w:rsid w:val="00AB7996"/>
    <w:rsid w:val="00AD3BC7"/>
    <w:rsid w:val="00AE2C57"/>
    <w:rsid w:val="00AF5AD6"/>
    <w:rsid w:val="00B26155"/>
    <w:rsid w:val="00B45B30"/>
    <w:rsid w:val="00B52209"/>
    <w:rsid w:val="00B55126"/>
    <w:rsid w:val="00B63EA8"/>
    <w:rsid w:val="00BA2DAD"/>
    <w:rsid w:val="00BC6624"/>
    <w:rsid w:val="00C042E2"/>
    <w:rsid w:val="00C04C17"/>
    <w:rsid w:val="00C15EDA"/>
    <w:rsid w:val="00C36BEA"/>
    <w:rsid w:val="00C37642"/>
    <w:rsid w:val="00C51E94"/>
    <w:rsid w:val="00C520E0"/>
    <w:rsid w:val="00C55D82"/>
    <w:rsid w:val="00C62061"/>
    <w:rsid w:val="00C66CED"/>
    <w:rsid w:val="00C71766"/>
    <w:rsid w:val="00CC6FCE"/>
    <w:rsid w:val="00CE00E5"/>
    <w:rsid w:val="00CE2114"/>
    <w:rsid w:val="00CE37F1"/>
    <w:rsid w:val="00CF658E"/>
    <w:rsid w:val="00D14ABF"/>
    <w:rsid w:val="00D51726"/>
    <w:rsid w:val="00D8762C"/>
    <w:rsid w:val="00DA1424"/>
    <w:rsid w:val="00DD1CB5"/>
    <w:rsid w:val="00DF52E9"/>
    <w:rsid w:val="00E003EB"/>
    <w:rsid w:val="00E00627"/>
    <w:rsid w:val="00E25A70"/>
    <w:rsid w:val="00E57379"/>
    <w:rsid w:val="00E61750"/>
    <w:rsid w:val="00E6250F"/>
    <w:rsid w:val="00E65C42"/>
    <w:rsid w:val="00E7496D"/>
    <w:rsid w:val="00E8179D"/>
    <w:rsid w:val="00E8337F"/>
    <w:rsid w:val="00E847DD"/>
    <w:rsid w:val="00EA65CD"/>
    <w:rsid w:val="00F46FE0"/>
    <w:rsid w:val="00F60228"/>
    <w:rsid w:val="00F85B96"/>
    <w:rsid w:val="00FA07BB"/>
    <w:rsid w:val="00FA5605"/>
    <w:rsid w:val="00FB3BFE"/>
    <w:rsid w:val="00FC0123"/>
    <w:rsid w:val="00FD48B7"/>
    <w:rsid w:val="00FF0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D82"/>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629EF"/>
    <w:pPr>
      <w:spacing w:before="200"/>
      <w:ind w:firstLine="720"/>
    </w:pPr>
    <w:rPr>
      <w:szCs w:val="20"/>
    </w:rPr>
  </w:style>
  <w:style w:type="paragraph" w:styleId="Footer">
    <w:name w:val="footer"/>
    <w:basedOn w:val="Normal"/>
    <w:rsid w:val="00C55D82"/>
    <w:pPr>
      <w:tabs>
        <w:tab w:val="center" w:pos="4320"/>
        <w:tab w:val="right" w:pos="8640"/>
      </w:tabs>
    </w:pPr>
  </w:style>
  <w:style w:type="character" w:styleId="PageNumber">
    <w:name w:val="page number"/>
    <w:basedOn w:val="DefaultParagraphFont"/>
    <w:rsid w:val="00C55D82"/>
  </w:style>
  <w:style w:type="character" w:styleId="FootnoteReference">
    <w:name w:val="footnote reference"/>
    <w:semiHidden/>
    <w:rsid w:val="00C55D82"/>
    <w:rPr>
      <w:vertAlign w:val="superscript"/>
    </w:rPr>
  </w:style>
  <w:style w:type="paragraph" w:styleId="BalloonText">
    <w:name w:val="Balloon Text"/>
    <w:basedOn w:val="Normal"/>
    <w:link w:val="BalloonTextChar"/>
    <w:rsid w:val="00E003EB"/>
    <w:rPr>
      <w:rFonts w:ascii="Tahoma" w:hAnsi="Tahoma" w:cs="Tahoma"/>
      <w:sz w:val="16"/>
      <w:szCs w:val="16"/>
    </w:rPr>
  </w:style>
  <w:style w:type="character" w:customStyle="1" w:styleId="BalloonTextChar">
    <w:name w:val="Balloon Text Char"/>
    <w:link w:val="BalloonText"/>
    <w:rsid w:val="00E003EB"/>
    <w:rPr>
      <w:rFonts w:ascii="Tahoma" w:hAnsi="Tahoma" w:cs="Tahoma"/>
      <w:sz w:val="16"/>
      <w:szCs w:val="16"/>
    </w:rPr>
  </w:style>
  <w:style w:type="paragraph" w:styleId="Header">
    <w:name w:val="header"/>
    <w:basedOn w:val="Normal"/>
    <w:link w:val="HeaderChar"/>
    <w:rsid w:val="004E62EF"/>
    <w:pPr>
      <w:tabs>
        <w:tab w:val="center" w:pos="4680"/>
        <w:tab w:val="right" w:pos="9360"/>
      </w:tabs>
    </w:pPr>
  </w:style>
  <w:style w:type="character" w:customStyle="1" w:styleId="HeaderChar">
    <w:name w:val="Header Char"/>
    <w:basedOn w:val="DefaultParagraphFont"/>
    <w:link w:val="Header"/>
    <w:rsid w:val="004E62EF"/>
    <w:rPr>
      <w:rFonts w:ascii="Arial" w:hAnsi="Arial"/>
      <w:sz w:val="24"/>
      <w:szCs w:val="24"/>
    </w:rPr>
  </w:style>
  <w:style w:type="character" w:styleId="CommentReference">
    <w:name w:val="annotation reference"/>
    <w:basedOn w:val="DefaultParagraphFont"/>
    <w:rsid w:val="00C042E2"/>
    <w:rPr>
      <w:sz w:val="16"/>
      <w:szCs w:val="16"/>
    </w:rPr>
  </w:style>
  <w:style w:type="paragraph" w:styleId="CommentText">
    <w:name w:val="annotation text"/>
    <w:basedOn w:val="Normal"/>
    <w:link w:val="CommentTextChar"/>
    <w:rsid w:val="00C042E2"/>
    <w:rPr>
      <w:sz w:val="20"/>
      <w:szCs w:val="20"/>
    </w:rPr>
  </w:style>
  <w:style w:type="character" w:customStyle="1" w:styleId="CommentTextChar">
    <w:name w:val="Comment Text Char"/>
    <w:basedOn w:val="DefaultParagraphFont"/>
    <w:link w:val="CommentText"/>
    <w:rsid w:val="00C042E2"/>
    <w:rPr>
      <w:rFonts w:ascii="Arial" w:hAnsi="Arial"/>
    </w:rPr>
  </w:style>
  <w:style w:type="paragraph" w:styleId="CommentSubject">
    <w:name w:val="annotation subject"/>
    <w:basedOn w:val="CommentText"/>
    <w:next w:val="CommentText"/>
    <w:link w:val="CommentSubjectChar"/>
    <w:rsid w:val="00C042E2"/>
    <w:rPr>
      <w:b/>
      <w:bCs/>
    </w:rPr>
  </w:style>
  <w:style w:type="character" w:customStyle="1" w:styleId="CommentSubjectChar">
    <w:name w:val="Comment Subject Char"/>
    <w:basedOn w:val="CommentTextChar"/>
    <w:link w:val="CommentSubject"/>
    <w:rsid w:val="00C042E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45629">
      <w:bodyDiv w:val="1"/>
      <w:marLeft w:val="0"/>
      <w:marRight w:val="0"/>
      <w:marTop w:val="0"/>
      <w:marBottom w:val="0"/>
      <w:divBdr>
        <w:top w:val="none" w:sz="0" w:space="0" w:color="auto"/>
        <w:left w:val="none" w:sz="0" w:space="0" w:color="auto"/>
        <w:bottom w:val="none" w:sz="0" w:space="0" w:color="auto"/>
        <w:right w:val="none" w:sz="0" w:space="0" w:color="auto"/>
      </w:divBdr>
      <w:divsChild>
        <w:div w:id="558589292">
          <w:marLeft w:val="0"/>
          <w:marRight w:val="0"/>
          <w:marTop w:val="0"/>
          <w:marBottom w:val="0"/>
          <w:divBdr>
            <w:top w:val="none" w:sz="0" w:space="0" w:color="auto"/>
            <w:left w:val="none" w:sz="0" w:space="0" w:color="auto"/>
            <w:bottom w:val="none" w:sz="0" w:space="0" w:color="auto"/>
            <w:right w:val="none" w:sz="0" w:space="0" w:color="auto"/>
          </w:divBdr>
          <w:divsChild>
            <w:div w:id="143665474">
              <w:marLeft w:val="0"/>
              <w:marRight w:val="0"/>
              <w:marTop w:val="0"/>
              <w:marBottom w:val="0"/>
              <w:divBdr>
                <w:top w:val="none" w:sz="0" w:space="0" w:color="auto"/>
                <w:left w:val="none" w:sz="0" w:space="0" w:color="auto"/>
                <w:bottom w:val="none" w:sz="0" w:space="0" w:color="auto"/>
                <w:right w:val="none" w:sz="0" w:space="0" w:color="auto"/>
              </w:divBdr>
            </w:div>
            <w:div w:id="956983443">
              <w:marLeft w:val="0"/>
              <w:marRight w:val="0"/>
              <w:marTop w:val="240"/>
              <w:marBottom w:val="0"/>
              <w:divBdr>
                <w:top w:val="none" w:sz="0" w:space="0" w:color="auto"/>
                <w:left w:val="none" w:sz="0" w:space="0" w:color="auto"/>
                <w:bottom w:val="none" w:sz="0" w:space="0" w:color="auto"/>
                <w:right w:val="none" w:sz="0" w:space="0" w:color="auto"/>
              </w:divBdr>
              <w:divsChild>
                <w:div w:id="1687634360">
                  <w:marLeft w:val="0"/>
                  <w:marRight w:val="0"/>
                  <w:marTop w:val="0"/>
                  <w:marBottom w:val="0"/>
                  <w:divBdr>
                    <w:top w:val="none" w:sz="0" w:space="0" w:color="auto"/>
                    <w:left w:val="none" w:sz="0" w:space="0" w:color="auto"/>
                    <w:bottom w:val="none" w:sz="0" w:space="0" w:color="auto"/>
                    <w:right w:val="none" w:sz="0" w:space="0" w:color="auto"/>
                  </w:divBdr>
                  <w:divsChild>
                    <w:div w:id="546717893">
                      <w:blockQuote w:val="1"/>
                      <w:marLeft w:val="0"/>
                      <w:marRight w:val="0"/>
                      <w:marTop w:val="0"/>
                      <w:marBottom w:val="0"/>
                      <w:divBdr>
                        <w:top w:val="none" w:sz="0" w:space="0" w:color="auto"/>
                        <w:left w:val="none" w:sz="0" w:space="0" w:color="auto"/>
                        <w:bottom w:val="none" w:sz="0" w:space="0" w:color="auto"/>
                        <w:right w:val="none" w:sz="0" w:space="0" w:color="auto"/>
                      </w:divBdr>
                      <w:divsChild>
                        <w:div w:id="188163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8375">
      <w:bodyDiv w:val="1"/>
      <w:marLeft w:val="0"/>
      <w:marRight w:val="0"/>
      <w:marTop w:val="0"/>
      <w:marBottom w:val="0"/>
      <w:divBdr>
        <w:top w:val="none" w:sz="0" w:space="0" w:color="auto"/>
        <w:left w:val="none" w:sz="0" w:space="0" w:color="auto"/>
        <w:bottom w:val="none" w:sz="0" w:space="0" w:color="auto"/>
        <w:right w:val="none" w:sz="0" w:space="0" w:color="auto"/>
      </w:divBdr>
      <w:divsChild>
        <w:div w:id="733427759">
          <w:marLeft w:val="0"/>
          <w:marRight w:val="0"/>
          <w:marTop w:val="0"/>
          <w:marBottom w:val="0"/>
          <w:divBdr>
            <w:top w:val="none" w:sz="0" w:space="0" w:color="auto"/>
            <w:left w:val="none" w:sz="0" w:space="0" w:color="auto"/>
            <w:bottom w:val="none" w:sz="0" w:space="0" w:color="auto"/>
            <w:right w:val="none" w:sz="0" w:space="0" w:color="auto"/>
          </w:divBdr>
          <w:divsChild>
            <w:div w:id="5262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0827">
      <w:bodyDiv w:val="1"/>
      <w:marLeft w:val="0"/>
      <w:marRight w:val="0"/>
      <w:marTop w:val="0"/>
      <w:marBottom w:val="0"/>
      <w:divBdr>
        <w:top w:val="none" w:sz="0" w:space="0" w:color="auto"/>
        <w:left w:val="none" w:sz="0" w:space="0" w:color="auto"/>
        <w:bottom w:val="none" w:sz="0" w:space="0" w:color="auto"/>
        <w:right w:val="none" w:sz="0" w:space="0" w:color="auto"/>
      </w:divBdr>
      <w:divsChild>
        <w:div w:id="1601524385">
          <w:marLeft w:val="0"/>
          <w:marRight w:val="0"/>
          <w:marTop w:val="0"/>
          <w:marBottom w:val="0"/>
          <w:divBdr>
            <w:top w:val="none" w:sz="0" w:space="0" w:color="auto"/>
            <w:left w:val="none" w:sz="0" w:space="0" w:color="auto"/>
            <w:bottom w:val="none" w:sz="0" w:space="0" w:color="auto"/>
            <w:right w:val="none" w:sz="0" w:space="0" w:color="auto"/>
          </w:divBdr>
          <w:divsChild>
            <w:div w:id="1141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5823">
      <w:bodyDiv w:val="1"/>
      <w:marLeft w:val="0"/>
      <w:marRight w:val="0"/>
      <w:marTop w:val="0"/>
      <w:marBottom w:val="0"/>
      <w:divBdr>
        <w:top w:val="none" w:sz="0" w:space="0" w:color="auto"/>
        <w:left w:val="none" w:sz="0" w:space="0" w:color="auto"/>
        <w:bottom w:val="none" w:sz="0" w:space="0" w:color="auto"/>
        <w:right w:val="none" w:sz="0" w:space="0" w:color="auto"/>
      </w:divBdr>
      <w:divsChild>
        <w:div w:id="508107758">
          <w:marLeft w:val="0"/>
          <w:marRight w:val="0"/>
          <w:marTop w:val="0"/>
          <w:marBottom w:val="0"/>
          <w:divBdr>
            <w:top w:val="none" w:sz="0" w:space="0" w:color="auto"/>
            <w:left w:val="none" w:sz="0" w:space="0" w:color="auto"/>
            <w:bottom w:val="none" w:sz="0" w:space="0" w:color="auto"/>
            <w:right w:val="none" w:sz="0" w:space="0" w:color="auto"/>
          </w:divBdr>
          <w:divsChild>
            <w:div w:id="1905601009">
              <w:marLeft w:val="0"/>
              <w:marRight w:val="0"/>
              <w:marTop w:val="0"/>
              <w:marBottom w:val="0"/>
              <w:divBdr>
                <w:top w:val="none" w:sz="0" w:space="0" w:color="auto"/>
                <w:left w:val="none" w:sz="0" w:space="0" w:color="auto"/>
                <w:bottom w:val="none" w:sz="0" w:space="0" w:color="auto"/>
                <w:right w:val="none" w:sz="0" w:space="0" w:color="auto"/>
              </w:divBdr>
            </w:div>
            <w:div w:id="8726063">
              <w:marLeft w:val="0"/>
              <w:marRight w:val="0"/>
              <w:marTop w:val="240"/>
              <w:marBottom w:val="0"/>
              <w:divBdr>
                <w:top w:val="none" w:sz="0" w:space="0" w:color="auto"/>
                <w:left w:val="none" w:sz="0" w:space="0" w:color="auto"/>
                <w:bottom w:val="none" w:sz="0" w:space="0" w:color="auto"/>
                <w:right w:val="none" w:sz="0" w:space="0" w:color="auto"/>
              </w:divBdr>
              <w:divsChild>
                <w:div w:id="351540028">
                  <w:marLeft w:val="0"/>
                  <w:marRight w:val="0"/>
                  <w:marTop w:val="0"/>
                  <w:marBottom w:val="0"/>
                  <w:divBdr>
                    <w:top w:val="none" w:sz="0" w:space="0" w:color="auto"/>
                    <w:left w:val="none" w:sz="0" w:space="0" w:color="auto"/>
                    <w:bottom w:val="none" w:sz="0" w:space="0" w:color="auto"/>
                    <w:right w:val="none" w:sz="0" w:space="0" w:color="auto"/>
                  </w:divBdr>
                  <w:divsChild>
                    <w:div w:id="110828396">
                      <w:blockQuote w:val="1"/>
                      <w:marLeft w:val="0"/>
                      <w:marRight w:val="0"/>
                      <w:marTop w:val="0"/>
                      <w:marBottom w:val="0"/>
                      <w:divBdr>
                        <w:top w:val="none" w:sz="0" w:space="0" w:color="auto"/>
                        <w:left w:val="none" w:sz="0" w:space="0" w:color="auto"/>
                        <w:bottom w:val="none" w:sz="0" w:space="0" w:color="auto"/>
                        <w:right w:val="none" w:sz="0" w:space="0" w:color="auto"/>
                      </w:divBdr>
                      <w:divsChild>
                        <w:div w:id="41932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36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34600">
      <w:bodyDiv w:val="1"/>
      <w:marLeft w:val="0"/>
      <w:marRight w:val="0"/>
      <w:marTop w:val="0"/>
      <w:marBottom w:val="0"/>
      <w:divBdr>
        <w:top w:val="none" w:sz="0" w:space="0" w:color="auto"/>
        <w:left w:val="none" w:sz="0" w:space="0" w:color="auto"/>
        <w:bottom w:val="none" w:sz="0" w:space="0" w:color="auto"/>
        <w:right w:val="none" w:sz="0" w:space="0" w:color="auto"/>
      </w:divBdr>
      <w:divsChild>
        <w:div w:id="2013684560">
          <w:marLeft w:val="0"/>
          <w:marRight w:val="0"/>
          <w:marTop w:val="0"/>
          <w:marBottom w:val="0"/>
          <w:divBdr>
            <w:top w:val="none" w:sz="0" w:space="0" w:color="auto"/>
            <w:left w:val="none" w:sz="0" w:space="0" w:color="auto"/>
            <w:bottom w:val="none" w:sz="0" w:space="0" w:color="auto"/>
            <w:right w:val="none" w:sz="0" w:space="0" w:color="auto"/>
          </w:divBdr>
          <w:divsChild>
            <w:div w:id="1571841159">
              <w:marLeft w:val="0"/>
              <w:marRight w:val="0"/>
              <w:marTop w:val="0"/>
              <w:marBottom w:val="0"/>
              <w:divBdr>
                <w:top w:val="none" w:sz="0" w:space="0" w:color="auto"/>
                <w:left w:val="none" w:sz="0" w:space="0" w:color="auto"/>
                <w:bottom w:val="none" w:sz="0" w:space="0" w:color="auto"/>
                <w:right w:val="none" w:sz="0" w:space="0" w:color="auto"/>
              </w:divBdr>
              <w:divsChild>
                <w:div w:id="879706005">
                  <w:marLeft w:val="0"/>
                  <w:marRight w:val="0"/>
                  <w:marTop w:val="0"/>
                  <w:marBottom w:val="0"/>
                  <w:divBdr>
                    <w:top w:val="none" w:sz="0" w:space="0" w:color="auto"/>
                    <w:left w:val="none" w:sz="0" w:space="0" w:color="auto"/>
                    <w:bottom w:val="none" w:sz="0" w:space="0" w:color="auto"/>
                    <w:right w:val="none" w:sz="0" w:space="0" w:color="auto"/>
                  </w:divBdr>
                </w:div>
              </w:divsChild>
            </w:div>
            <w:div w:id="942152295">
              <w:marLeft w:val="0"/>
              <w:marRight w:val="0"/>
              <w:marTop w:val="240"/>
              <w:marBottom w:val="0"/>
              <w:divBdr>
                <w:top w:val="none" w:sz="0" w:space="0" w:color="auto"/>
                <w:left w:val="none" w:sz="0" w:space="0" w:color="auto"/>
                <w:bottom w:val="none" w:sz="0" w:space="0" w:color="auto"/>
                <w:right w:val="none" w:sz="0" w:space="0" w:color="auto"/>
              </w:divBdr>
            </w:div>
            <w:div w:id="205160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379630">
      <w:bodyDiv w:val="1"/>
      <w:marLeft w:val="0"/>
      <w:marRight w:val="0"/>
      <w:marTop w:val="0"/>
      <w:marBottom w:val="0"/>
      <w:divBdr>
        <w:top w:val="none" w:sz="0" w:space="0" w:color="auto"/>
        <w:left w:val="none" w:sz="0" w:space="0" w:color="auto"/>
        <w:bottom w:val="none" w:sz="0" w:space="0" w:color="auto"/>
        <w:right w:val="none" w:sz="0" w:space="0" w:color="auto"/>
      </w:divBdr>
      <w:divsChild>
        <w:div w:id="655109020">
          <w:marLeft w:val="0"/>
          <w:marRight w:val="0"/>
          <w:marTop w:val="0"/>
          <w:marBottom w:val="0"/>
          <w:divBdr>
            <w:top w:val="none" w:sz="0" w:space="0" w:color="auto"/>
            <w:left w:val="none" w:sz="0" w:space="0" w:color="auto"/>
            <w:bottom w:val="none" w:sz="0" w:space="0" w:color="auto"/>
            <w:right w:val="none" w:sz="0" w:space="0" w:color="auto"/>
          </w:divBdr>
          <w:divsChild>
            <w:div w:id="6611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5519">
      <w:bodyDiv w:val="1"/>
      <w:marLeft w:val="0"/>
      <w:marRight w:val="0"/>
      <w:marTop w:val="0"/>
      <w:marBottom w:val="0"/>
      <w:divBdr>
        <w:top w:val="none" w:sz="0" w:space="0" w:color="auto"/>
        <w:left w:val="none" w:sz="0" w:space="0" w:color="auto"/>
        <w:bottom w:val="none" w:sz="0" w:space="0" w:color="auto"/>
        <w:right w:val="none" w:sz="0" w:space="0" w:color="auto"/>
      </w:divBdr>
      <w:divsChild>
        <w:div w:id="1633558735">
          <w:marLeft w:val="0"/>
          <w:marRight w:val="0"/>
          <w:marTop w:val="0"/>
          <w:marBottom w:val="0"/>
          <w:divBdr>
            <w:top w:val="none" w:sz="0" w:space="0" w:color="auto"/>
            <w:left w:val="none" w:sz="0" w:space="0" w:color="auto"/>
            <w:bottom w:val="none" w:sz="0" w:space="0" w:color="auto"/>
            <w:right w:val="none" w:sz="0" w:space="0" w:color="auto"/>
          </w:divBdr>
          <w:divsChild>
            <w:div w:id="212993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63622">
      <w:bodyDiv w:val="1"/>
      <w:marLeft w:val="0"/>
      <w:marRight w:val="0"/>
      <w:marTop w:val="0"/>
      <w:marBottom w:val="0"/>
      <w:divBdr>
        <w:top w:val="none" w:sz="0" w:space="0" w:color="auto"/>
        <w:left w:val="none" w:sz="0" w:space="0" w:color="auto"/>
        <w:bottom w:val="none" w:sz="0" w:space="0" w:color="auto"/>
        <w:right w:val="none" w:sz="0" w:space="0" w:color="auto"/>
      </w:divBdr>
      <w:divsChild>
        <w:div w:id="539128364">
          <w:marLeft w:val="0"/>
          <w:marRight w:val="0"/>
          <w:marTop w:val="0"/>
          <w:marBottom w:val="0"/>
          <w:divBdr>
            <w:top w:val="none" w:sz="0" w:space="0" w:color="auto"/>
            <w:left w:val="none" w:sz="0" w:space="0" w:color="auto"/>
            <w:bottom w:val="none" w:sz="0" w:space="0" w:color="auto"/>
            <w:right w:val="none" w:sz="0" w:space="0" w:color="auto"/>
          </w:divBdr>
          <w:divsChild>
            <w:div w:id="14157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15598">
      <w:bodyDiv w:val="1"/>
      <w:marLeft w:val="0"/>
      <w:marRight w:val="0"/>
      <w:marTop w:val="0"/>
      <w:marBottom w:val="0"/>
      <w:divBdr>
        <w:top w:val="none" w:sz="0" w:space="0" w:color="auto"/>
        <w:left w:val="none" w:sz="0" w:space="0" w:color="auto"/>
        <w:bottom w:val="none" w:sz="0" w:space="0" w:color="auto"/>
        <w:right w:val="none" w:sz="0" w:space="0" w:color="auto"/>
      </w:divBdr>
      <w:divsChild>
        <w:div w:id="992296108">
          <w:marLeft w:val="0"/>
          <w:marRight w:val="0"/>
          <w:marTop w:val="0"/>
          <w:marBottom w:val="0"/>
          <w:divBdr>
            <w:top w:val="none" w:sz="0" w:space="0" w:color="auto"/>
            <w:left w:val="none" w:sz="0" w:space="0" w:color="auto"/>
            <w:bottom w:val="none" w:sz="0" w:space="0" w:color="auto"/>
            <w:right w:val="none" w:sz="0" w:space="0" w:color="auto"/>
          </w:divBdr>
          <w:divsChild>
            <w:div w:id="141724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44505">
      <w:bodyDiv w:val="1"/>
      <w:marLeft w:val="0"/>
      <w:marRight w:val="0"/>
      <w:marTop w:val="0"/>
      <w:marBottom w:val="0"/>
      <w:divBdr>
        <w:top w:val="none" w:sz="0" w:space="0" w:color="auto"/>
        <w:left w:val="none" w:sz="0" w:space="0" w:color="auto"/>
        <w:bottom w:val="none" w:sz="0" w:space="0" w:color="auto"/>
        <w:right w:val="none" w:sz="0" w:space="0" w:color="auto"/>
      </w:divBdr>
      <w:divsChild>
        <w:div w:id="1873028056">
          <w:marLeft w:val="0"/>
          <w:marRight w:val="0"/>
          <w:marTop w:val="0"/>
          <w:marBottom w:val="0"/>
          <w:divBdr>
            <w:top w:val="none" w:sz="0" w:space="0" w:color="auto"/>
            <w:left w:val="none" w:sz="0" w:space="0" w:color="auto"/>
            <w:bottom w:val="none" w:sz="0" w:space="0" w:color="auto"/>
            <w:right w:val="none" w:sz="0" w:space="0" w:color="auto"/>
          </w:divBdr>
          <w:divsChild>
            <w:div w:id="4100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358985">
      <w:bodyDiv w:val="1"/>
      <w:marLeft w:val="0"/>
      <w:marRight w:val="0"/>
      <w:marTop w:val="0"/>
      <w:marBottom w:val="0"/>
      <w:divBdr>
        <w:top w:val="none" w:sz="0" w:space="0" w:color="auto"/>
        <w:left w:val="none" w:sz="0" w:space="0" w:color="auto"/>
        <w:bottom w:val="none" w:sz="0" w:space="0" w:color="auto"/>
        <w:right w:val="none" w:sz="0" w:space="0" w:color="auto"/>
      </w:divBdr>
      <w:divsChild>
        <w:div w:id="476000868">
          <w:marLeft w:val="0"/>
          <w:marRight w:val="0"/>
          <w:marTop w:val="0"/>
          <w:marBottom w:val="0"/>
          <w:divBdr>
            <w:top w:val="none" w:sz="0" w:space="0" w:color="auto"/>
            <w:left w:val="none" w:sz="0" w:space="0" w:color="auto"/>
            <w:bottom w:val="none" w:sz="0" w:space="0" w:color="auto"/>
            <w:right w:val="none" w:sz="0" w:space="0" w:color="auto"/>
          </w:divBdr>
          <w:divsChild>
            <w:div w:id="207592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24517">
      <w:bodyDiv w:val="1"/>
      <w:marLeft w:val="0"/>
      <w:marRight w:val="0"/>
      <w:marTop w:val="0"/>
      <w:marBottom w:val="0"/>
      <w:divBdr>
        <w:top w:val="none" w:sz="0" w:space="0" w:color="auto"/>
        <w:left w:val="none" w:sz="0" w:space="0" w:color="auto"/>
        <w:bottom w:val="none" w:sz="0" w:space="0" w:color="auto"/>
        <w:right w:val="none" w:sz="0" w:space="0" w:color="auto"/>
      </w:divBdr>
      <w:divsChild>
        <w:div w:id="1014962849">
          <w:marLeft w:val="0"/>
          <w:marRight w:val="0"/>
          <w:marTop w:val="0"/>
          <w:marBottom w:val="0"/>
          <w:divBdr>
            <w:top w:val="none" w:sz="0" w:space="0" w:color="auto"/>
            <w:left w:val="none" w:sz="0" w:space="0" w:color="auto"/>
            <w:bottom w:val="none" w:sz="0" w:space="0" w:color="auto"/>
            <w:right w:val="none" w:sz="0" w:space="0" w:color="auto"/>
          </w:divBdr>
          <w:divsChild>
            <w:div w:id="3094908">
              <w:marLeft w:val="0"/>
              <w:marRight w:val="0"/>
              <w:marTop w:val="0"/>
              <w:marBottom w:val="0"/>
              <w:divBdr>
                <w:top w:val="none" w:sz="0" w:space="0" w:color="auto"/>
                <w:left w:val="none" w:sz="0" w:space="0" w:color="auto"/>
                <w:bottom w:val="none" w:sz="0" w:space="0" w:color="auto"/>
                <w:right w:val="none" w:sz="0" w:space="0" w:color="auto"/>
              </w:divBdr>
              <w:divsChild>
                <w:div w:id="701246767">
                  <w:marLeft w:val="0"/>
                  <w:marRight w:val="0"/>
                  <w:marTop w:val="0"/>
                  <w:marBottom w:val="0"/>
                  <w:divBdr>
                    <w:top w:val="none" w:sz="0" w:space="0" w:color="auto"/>
                    <w:left w:val="none" w:sz="0" w:space="0" w:color="auto"/>
                    <w:bottom w:val="none" w:sz="0" w:space="0" w:color="auto"/>
                    <w:right w:val="none" w:sz="0" w:space="0" w:color="auto"/>
                  </w:divBdr>
                </w:div>
              </w:divsChild>
            </w:div>
            <w:div w:id="1372463930">
              <w:marLeft w:val="0"/>
              <w:marRight w:val="0"/>
              <w:marTop w:val="240"/>
              <w:marBottom w:val="0"/>
              <w:divBdr>
                <w:top w:val="none" w:sz="0" w:space="0" w:color="auto"/>
                <w:left w:val="none" w:sz="0" w:space="0" w:color="auto"/>
                <w:bottom w:val="none" w:sz="0" w:space="0" w:color="auto"/>
                <w:right w:val="none" w:sz="0" w:space="0" w:color="auto"/>
              </w:divBdr>
            </w:div>
            <w:div w:id="213235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8668">
      <w:bodyDiv w:val="1"/>
      <w:marLeft w:val="0"/>
      <w:marRight w:val="0"/>
      <w:marTop w:val="0"/>
      <w:marBottom w:val="0"/>
      <w:divBdr>
        <w:top w:val="none" w:sz="0" w:space="0" w:color="auto"/>
        <w:left w:val="none" w:sz="0" w:space="0" w:color="auto"/>
        <w:bottom w:val="none" w:sz="0" w:space="0" w:color="auto"/>
        <w:right w:val="none" w:sz="0" w:space="0" w:color="auto"/>
      </w:divBdr>
      <w:divsChild>
        <w:div w:id="693458504">
          <w:marLeft w:val="0"/>
          <w:marRight w:val="0"/>
          <w:marTop w:val="0"/>
          <w:marBottom w:val="0"/>
          <w:divBdr>
            <w:top w:val="none" w:sz="0" w:space="0" w:color="auto"/>
            <w:left w:val="none" w:sz="0" w:space="0" w:color="auto"/>
            <w:bottom w:val="none" w:sz="0" w:space="0" w:color="auto"/>
            <w:right w:val="none" w:sz="0" w:space="0" w:color="auto"/>
          </w:divBdr>
          <w:divsChild>
            <w:div w:id="70406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759972">
      <w:bodyDiv w:val="1"/>
      <w:marLeft w:val="0"/>
      <w:marRight w:val="0"/>
      <w:marTop w:val="0"/>
      <w:marBottom w:val="0"/>
      <w:divBdr>
        <w:top w:val="none" w:sz="0" w:space="0" w:color="auto"/>
        <w:left w:val="none" w:sz="0" w:space="0" w:color="auto"/>
        <w:bottom w:val="none" w:sz="0" w:space="0" w:color="auto"/>
        <w:right w:val="none" w:sz="0" w:space="0" w:color="auto"/>
      </w:divBdr>
      <w:divsChild>
        <w:div w:id="1096051314">
          <w:marLeft w:val="0"/>
          <w:marRight w:val="0"/>
          <w:marTop w:val="0"/>
          <w:marBottom w:val="0"/>
          <w:divBdr>
            <w:top w:val="none" w:sz="0" w:space="0" w:color="auto"/>
            <w:left w:val="none" w:sz="0" w:space="0" w:color="auto"/>
            <w:bottom w:val="none" w:sz="0" w:space="0" w:color="auto"/>
            <w:right w:val="none" w:sz="0" w:space="0" w:color="auto"/>
          </w:divBdr>
          <w:divsChild>
            <w:div w:id="81417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6742">
      <w:bodyDiv w:val="1"/>
      <w:marLeft w:val="0"/>
      <w:marRight w:val="0"/>
      <w:marTop w:val="0"/>
      <w:marBottom w:val="0"/>
      <w:divBdr>
        <w:top w:val="none" w:sz="0" w:space="0" w:color="auto"/>
        <w:left w:val="none" w:sz="0" w:space="0" w:color="auto"/>
        <w:bottom w:val="none" w:sz="0" w:space="0" w:color="auto"/>
        <w:right w:val="none" w:sz="0" w:space="0" w:color="auto"/>
      </w:divBdr>
      <w:divsChild>
        <w:div w:id="256600260">
          <w:marLeft w:val="0"/>
          <w:marRight w:val="0"/>
          <w:marTop w:val="0"/>
          <w:marBottom w:val="0"/>
          <w:divBdr>
            <w:top w:val="none" w:sz="0" w:space="0" w:color="auto"/>
            <w:left w:val="none" w:sz="0" w:space="0" w:color="auto"/>
            <w:bottom w:val="none" w:sz="0" w:space="0" w:color="auto"/>
            <w:right w:val="none" w:sz="0" w:space="0" w:color="auto"/>
          </w:divBdr>
          <w:divsChild>
            <w:div w:id="5990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03706">
      <w:bodyDiv w:val="1"/>
      <w:marLeft w:val="0"/>
      <w:marRight w:val="0"/>
      <w:marTop w:val="0"/>
      <w:marBottom w:val="0"/>
      <w:divBdr>
        <w:top w:val="none" w:sz="0" w:space="0" w:color="auto"/>
        <w:left w:val="none" w:sz="0" w:space="0" w:color="auto"/>
        <w:bottom w:val="none" w:sz="0" w:space="0" w:color="auto"/>
        <w:right w:val="none" w:sz="0" w:space="0" w:color="auto"/>
      </w:divBdr>
      <w:divsChild>
        <w:div w:id="1833371900">
          <w:marLeft w:val="0"/>
          <w:marRight w:val="0"/>
          <w:marTop w:val="0"/>
          <w:marBottom w:val="0"/>
          <w:divBdr>
            <w:top w:val="none" w:sz="0" w:space="0" w:color="auto"/>
            <w:left w:val="none" w:sz="0" w:space="0" w:color="auto"/>
            <w:bottom w:val="none" w:sz="0" w:space="0" w:color="auto"/>
            <w:right w:val="none" w:sz="0" w:space="0" w:color="auto"/>
          </w:divBdr>
          <w:divsChild>
            <w:div w:id="902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895">
      <w:bodyDiv w:val="1"/>
      <w:marLeft w:val="0"/>
      <w:marRight w:val="0"/>
      <w:marTop w:val="0"/>
      <w:marBottom w:val="0"/>
      <w:divBdr>
        <w:top w:val="none" w:sz="0" w:space="0" w:color="auto"/>
        <w:left w:val="none" w:sz="0" w:space="0" w:color="auto"/>
        <w:bottom w:val="none" w:sz="0" w:space="0" w:color="auto"/>
        <w:right w:val="none" w:sz="0" w:space="0" w:color="auto"/>
      </w:divBdr>
      <w:divsChild>
        <w:div w:id="1228616526">
          <w:marLeft w:val="0"/>
          <w:marRight w:val="0"/>
          <w:marTop w:val="0"/>
          <w:marBottom w:val="0"/>
          <w:divBdr>
            <w:top w:val="none" w:sz="0" w:space="0" w:color="auto"/>
            <w:left w:val="none" w:sz="0" w:space="0" w:color="auto"/>
            <w:bottom w:val="none" w:sz="0" w:space="0" w:color="auto"/>
            <w:right w:val="none" w:sz="0" w:space="0" w:color="auto"/>
          </w:divBdr>
          <w:divsChild>
            <w:div w:id="129960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00589">
      <w:bodyDiv w:val="1"/>
      <w:marLeft w:val="0"/>
      <w:marRight w:val="0"/>
      <w:marTop w:val="0"/>
      <w:marBottom w:val="0"/>
      <w:divBdr>
        <w:top w:val="none" w:sz="0" w:space="0" w:color="auto"/>
        <w:left w:val="none" w:sz="0" w:space="0" w:color="auto"/>
        <w:bottom w:val="none" w:sz="0" w:space="0" w:color="auto"/>
        <w:right w:val="none" w:sz="0" w:space="0" w:color="auto"/>
      </w:divBdr>
      <w:divsChild>
        <w:div w:id="683701708">
          <w:marLeft w:val="0"/>
          <w:marRight w:val="0"/>
          <w:marTop w:val="0"/>
          <w:marBottom w:val="0"/>
          <w:divBdr>
            <w:top w:val="none" w:sz="0" w:space="0" w:color="auto"/>
            <w:left w:val="none" w:sz="0" w:space="0" w:color="auto"/>
            <w:bottom w:val="none" w:sz="0" w:space="0" w:color="auto"/>
            <w:right w:val="none" w:sz="0" w:space="0" w:color="auto"/>
          </w:divBdr>
          <w:divsChild>
            <w:div w:id="184582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79805">
      <w:bodyDiv w:val="1"/>
      <w:marLeft w:val="0"/>
      <w:marRight w:val="0"/>
      <w:marTop w:val="0"/>
      <w:marBottom w:val="0"/>
      <w:divBdr>
        <w:top w:val="none" w:sz="0" w:space="0" w:color="auto"/>
        <w:left w:val="none" w:sz="0" w:space="0" w:color="auto"/>
        <w:bottom w:val="none" w:sz="0" w:space="0" w:color="auto"/>
        <w:right w:val="none" w:sz="0" w:space="0" w:color="auto"/>
      </w:divBdr>
      <w:divsChild>
        <w:div w:id="904803958">
          <w:marLeft w:val="0"/>
          <w:marRight w:val="0"/>
          <w:marTop w:val="0"/>
          <w:marBottom w:val="0"/>
          <w:divBdr>
            <w:top w:val="none" w:sz="0" w:space="0" w:color="auto"/>
            <w:left w:val="none" w:sz="0" w:space="0" w:color="auto"/>
            <w:bottom w:val="none" w:sz="0" w:space="0" w:color="auto"/>
            <w:right w:val="none" w:sz="0" w:space="0" w:color="auto"/>
          </w:divBdr>
          <w:divsChild>
            <w:div w:id="19164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05191">
      <w:bodyDiv w:val="1"/>
      <w:marLeft w:val="0"/>
      <w:marRight w:val="0"/>
      <w:marTop w:val="0"/>
      <w:marBottom w:val="0"/>
      <w:divBdr>
        <w:top w:val="none" w:sz="0" w:space="0" w:color="auto"/>
        <w:left w:val="none" w:sz="0" w:space="0" w:color="auto"/>
        <w:bottom w:val="none" w:sz="0" w:space="0" w:color="auto"/>
        <w:right w:val="none" w:sz="0" w:space="0" w:color="auto"/>
      </w:divBdr>
      <w:divsChild>
        <w:div w:id="1259489280">
          <w:marLeft w:val="0"/>
          <w:marRight w:val="0"/>
          <w:marTop w:val="0"/>
          <w:marBottom w:val="0"/>
          <w:divBdr>
            <w:top w:val="none" w:sz="0" w:space="0" w:color="auto"/>
            <w:left w:val="none" w:sz="0" w:space="0" w:color="auto"/>
            <w:bottom w:val="none" w:sz="0" w:space="0" w:color="auto"/>
            <w:right w:val="none" w:sz="0" w:space="0" w:color="auto"/>
          </w:divBdr>
          <w:divsChild>
            <w:div w:id="99945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58566">
      <w:bodyDiv w:val="1"/>
      <w:marLeft w:val="0"/>
      <w:marRight w:val="0"/>
      <w:marTop w:val="0"/>
      <w:marBottom w:val="0"/>
      <w:divBdr>
        <w:top w:val="none" w:sz="0" w:space="0" w:color="auto"/>
        <w:left w:val="none" w:sz="0" w:space="0" w:color="auto"/>
        <w:bottom w:val="none" w:sz="0" w:space="0" w:color="auto"/>
        <w:right w:val="none" w:sz="0" w:space="0" w:color="auto"/>
      </w:divBdr>
      <w:divsChild>
        <w:div w:id="1098210363">
          <w:marLeft w:val="0"/>
          <w:marRight w:val="0"/>
          <w:marTop w:val="0"/>
          <w:marBottom w:val="0"/>
          <w:divBdr>
            <w:top w:val="none" w:sz="0" w:space="0" w:color="auto"/>
            <w:left w:val="none" w:sz="0" w:space="0" w:color="auto"/>
            <w:bottom w:val="none" w:sz="0" w:space="0" w:color="auto"/>
            <w:right w:val="none" w:sz="0" w:space="0" w:color="auto"/>
          </w:divBdr>
          <w:divsChild>
            <w:div w:id="142626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8495">
      <w:bodyDiv w:val="1"/>
      <w:marLeft w:val="0"/>
      <w:marRight w:val="0"/>
      <w:marTop w:val="0"/>
      <w:marBottom w:val="0"/>
      <w:divBdr>
        <w:top w:val="none" w:sz="0" w:space="0" w:color="auto"/>
        <w:left w:val="none" w:sz="0" w:space="0" w:color="auto"/>
        <w:bottom w:val="none" w:sz="0" w:space="0" w:color="auto"/>
        <w:right w:val="none" w:sz="0" w:space="0" w:color="auto"/>
      </w:divBdr>
      <w:divsChild>
        <w:div w:id="967860170">
          <w:marLeft w:val="0"/>
          <w:marRight w:val="0"/>
          <w:marTop w:val="0"/>
          <w:marBottom w:val="0"/>
          <w:divBdr>
            <w:top w:val="none" w:sz="0" w:space="0" w:color="auto"/>
            <w:left w:val="none" w:sz="0" w:space="0" w:color="auto"/>
            <w:bottom w:val="none" w:sz="0" w:space="0" w:color="auto"/>
            <w:right w:val="none" w:sz="0" w:space="0" w:color="auto"/>
          </w:divBdr>
          <w:divsChild>
            <w:div w:id="9183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F0B-5C87-465A-B39F-05B51FF0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1193</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2014-12-10T21:55:00Z</dcterms:created>
  <dcterms:modified xsi:type="dcterms:W3CDTF">2014-12-10T21:55:00Z</dcterms:modified>
</cp:coreProperties>
</file>