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53D5" w:rsidRDefault="0030161A" w:rsidP="0030161A">
      <w:pPr>
        <w:jc w:val="center"/>
        <w:rPr>
          <w:rFonts w:ascii="CloisterBlack BT" w:hAnsi="CloisterBlack BT"/>
          <w:sz w:val="79"/>
        </w:rPr>
      </w:pPr>
      <w:bookmarkStart w:id="0" w:name="_GoBack"/>
      <w:bookmarkEnd w:id="0"/>
      <w:r>
        <w:rPr>
          <w:rFonts w:ascii="CloisterBlack BT" w:hAnsi="CloisterBlack BT"/>
          <w:sz w:val="79"/>
        </w:rPr>
        <w:t>Supreme Court of Florida</w:t>
      </w:r>
    </w:p>
    <w:p w:rsidR="0030161A" w:rsidRDefault="0030161A" w:rsidP="0030161A">
      <w:pPr>
        <w:jc w:val="center"/>
        <w:rPr>
          <w:rFonts w:ascii="CloisterBlack BT" w:hAnsi="CloisterBlack BT"/>
        </w:rPr>
      </w:pPr>
    </w:p>
    <w:p w:rsidR="0030161A" w:rsidRDefault="0030161A" w:rsidP="0030161A">
      <w:pPr>
        <w:jc w:val="center"/>
        <w:rPr>
          <w:rFonts w:ascii="CloisterBlack BT" w:hAnsi="CloisterBlack BT"/>
        </w:rPr>
      </w:pPr>
    </w:p>
    <w:p w:rsidR="0030161A" w:rsidRDefault="0030161A" w:rsidP="0030161A">
      <w:pPr>
        <w:jc w:val="center"/>
      </w:pPr>
      <w:r>
        <w:t>____________</w:t>
      </w:r>
    </w:p>
    <w:p w:rsidR="0030161A" w:rsidRDefault="0030161A" w:rsidP="0030161A">
      <w:pPr>
        <w:jc w:val="center"/>
      </w:pPr>
    </w:p>
    <w:p w:rsidR="0030161A" w:rsidRDefault="0030161A" w:rsidP="0030161A">
      <w:pPr>
        <w:jc w:val="center"/>
      </w:pPr>
      <w:r>
        <w:t>No. SC14-721</w:t>
      </w:r>
    </w:p>
    <w:p w:rsidR="0030161A" w:rsidRDefault="0030161A" w:rsidP="0030161A">
      <w:pPr>
        <w:jc w:val="center"/>
      </w:pPr>
      <w:r>
        <w:t>____________</w:t>
      </w:r>
    </w:p>
    <w:p w:rsidR="0030161A" w:rsidRDefault="0030161A" w:rsidP="0030161A">
      <w:pPr>
        <w:jc w:val="center"/>
      </w:pPr>
    </w:p>
    <w:p w:rsidR="0030161A" w:rsidRDefault="0030161A" w:rsidP="0030161A">
      <w:pPr>
        <w:jc w:val="center"/>
      </w:pPr>
    </w:p>
    <w:p w:rsidR="0030161A" w:rsidRDefault="0030161A" w:rsidP="0030161A">
      <w:pPr>
        <w:jc w:val="center"/>
      </w:pPr>
      <w:r>
        <w:rPr>
          <w:b/>
        </w:rPr>
        <w:t>IN RE:  AMENDMENTS TO FLORIDA RULE OF JUDICIAL ADMINISTRATION 2.520.</w:t>
      </w:r>
    </w:p>
    <w:p w:rsidR="0030161A" w:rsidRDefault="0030161A" w:rsidP="0030161A">
      <w:pPr>
        <w:jc w:val="center"/>
      </w:pPr>
    </w:p>
    <w:p w:rsidR="0030161A" w:rsidRDefault="00AF62BA" w:rsidP="0030161A">
      <w:pPr>
        <w:jc w:val="center"/>
      </w:pPr>
      <w:r>
        <w:t>[November 26, 2014]</w:t>
      </w:r>
    </w:p>
    <w:p w:rsidR="0030161A" w:rsidRDefault="0030161A" w:rsidP="0030161A">
      <w:pPr>
        <w:jc w:val="center"/>
      </w:pPr>
    </w:p>
    <w:p w:rsidR="0030161A" w:rsidRDefault="0030161A" w:rsidP="0030161A">
      <w:pPr>
        <w:spacing w:line="480" w:lineRule="auto"/>
      </w:pPr>
      <w:r>
        <w:t>PER CURIAM.</w:t>
      </w:r>
    </w:p>
    <w:p w:rsidR="0030161A" w:rsidRDefault="0030161A" w:rsidP="0030161A">
      <w:pPr>
        <w:spacing w:line="480" w:lineRule="auto"/>
      </w:pPr>
      <w:r>
        <w:tab/>
      </w:r>
      <w:r w:rsidRPr="0030161A">
        <w:t xml:space="preserve">We have for consideration </w:t>
      </w:r>
      <w:r>
        <w:t xml:space="preserve">an out-of-cycle report proposing amendments to Florida Rule of Judicial Administration 2.520 </w:t>
      </w:r>
      <w:r w:rsidRPr="0030161A">
        <w:t>(Documents)</w:t>
      </w:r>
      <w:r w:rsidR="00F56905">
        <w:t xml:space="preserve"> filed by T</w:t>
      </w:r>
      <w:r>
        <w:t>he</w:t>
      </w:r>
      <w:r w:rsidRPr="0030161A">
        <w:t xml:space="preserve"> Florida Bar’s Rules of Judicial </w:t>
      </w:r>
      <w:r w:rsidR="004F2A8A">
        <w:t>Administration Committee (</w:t>
      </w:r>
      <w:r w:rsidRPr="0030161A">
        <w:t xml:space="preserve">Committee).  </w:t>
      </w:r>
      <w:r w:rsidRPr="0030161A">
        <w:rPr>
          <w:u w:val="single"/>
        </w:rPr>
        <w:t>See</w:t>
      </w:r>
      <w:r w:rsidRPr="0030161A">
        <w:t xml:space="preserve"> Fla</w:t>
      </w:r>
      <w:r>
        <w:t>. R. Jud. Admin. 2.140(e</w:t>
      </w:r>
      <w:r w:rsidRPr="0030161A">
        <w:t>).  We have jurisdiction</w:t>
      </w:r>
      <w:r w:rsidRPr="0030161A">
        <w:rPr>
          <w:vertAlign w:val="superscript"/>
        </w:rPr>
        <w:footnoteReference w:id="1"/>
      </w:r>
      <w:r w:rsidRPr="0030161A">
        <w:t xml:space="preserve"> and adopt the</w:t>
      </w:r>
      <w:r w:rsidR="009F1AAB">
        <w:t xml:space="preserve">se </w:t>
      </w:r>
      <w:r w:rsidR="00500B8C">
        <w:t>noncontroversial</w:t>
      </w:r>
      <w:r w:rsidRPr="0030161A">
        <w:t xml:space="preserve"> amendments as proposed.</w:t>
      </w:r>
    </w:p>
    <w:p w:rsidR="004F2A8A" w:rsidRDefault="004F2A8A" w:rsidP="004F2A8A">
      <w:pPr>
        <w:spacing w:line="480" w:lineRule="auto"/>
        <w:jc w:val="center"/>
        <w:rPr>
          <w:b/>
        </w:rPr>
      </w:pPr>
      <w:r>
        <w:rPr>
          <w:b/>
        </w:rPr>
        <w:t>BACKGROUND</w:t>
      </w:r>
    </w:p>
    <w:p w:rsidR="004F2A8A" w:rsidRPr="004F2A8A" w:rsidRDefault="004F2A8A" w:rsidP="004F2A8A">
      <w:pPr>
        <w:spacing w:line="480" w:lineRule="auto"/>
        <w:ind w:firstLine="720"/>
      </w:pPr>
      <w:r>
        <w:t>According to the Committee’s report,</w:t>
      </w:r>
      <w:r w:rsidRPr="004F2A8A">
        <w:t xml:space="preserve"> the</w:t>
      </w:r>
      <w:r>
        <w:t xml:space="preserve"> </w:t>
      </w:r>
      <w:r w:rsidR="00BC2AA5">
        <w:t>more significant amendments</w:t>
      </w:r>
      <w:r w:rsidRPr="004F2A8A">
        <w:t xml:space="preserve"> address format requirements for paper documents filed with the court and </w:t>
      </w:r>
      <w:r w:rsidR="007F56AE">
        <w:t>the use of margins by the clerks of court</w:t>
      </w:r>
      <w:r w:rsidR="00D57FF7">
        <w:t xml:space="preserve">, which are issues </w:t>
      </w:r>
      <w:r w:rsidR="006C4465">
        <w:t xml:space="preserve">of great concern to the clerks.  </w:t>
      </w:r>
      <w:r w:rsidRPr="004F2A8A">
        <w:t>The propos</w:t>
      </w:r>
      <w:r w:rsidR="007A714A">
        <w:t>ed amendments</w:t>
      </w:r>
      <w:r w:rsidRPr="004F2A8A">
        <w:t xml:space="preserve"> were approved by the Committee by a vote of 36-1</w:t>
      </w:r>
      <w:r w:rsidR="00032F4D">
        <w:t xml:space="preserve"> and </w:t>
      </w:r>
      <w:r w:rsidR="00032F4D">
        <w:lastRenderedPageBreak/>
        <w:t>were unanimously approved by t</w:t>
      </w:r>
      <w:r w:rsidRPr="004F2A8A">
        <w:t>he Board of Governors of The Florida Bar</w:t>
      </w:r>
      <w:r w:rsidR="00594DE4">
        <w:t xml:space="preserve">.  </w:t>
      </w:r>
      <w:r w:rsidR="00AF4753">
        <w:t>The Committee did not publish</w:t>
      </w:r>
      <w:r w:rsidR="00D840E7">
        <w:t xml:space="preserve"> the proposals</w:t>
      </w:r>
      <w:r w:rsidRPr="004F2A8A">
        <w:t xml:space="preserve"> before</w:t>
      </w:r>
      <w:r w:rsidR="00D840E7">
        <w:t xml:space="preserve"> filing them</w:t>
      </w:r>
      <w:r w:rsidRPr="004F2A8A">
        <w:t xml:space="preserve"> with the Court.  </w:t>
      </w:r>
      <w:r w:rsidR="00EB2605">
        <w:t>T</w:t>
      </w:r>
      <w:r w:rsidRPr="004F2A8A">
        <w:t>he Court published the proposals for commen</w:t>
      </w:r>
      <w:r w:rsidR="004A5750">
        <w:t>t</w:t>
      </w:r>
      <w:r w:rsidR="00EB2605">
        <w:t xml:space="preserve"> after they were filed.  But</w:t>
      </w:r>
      <w:r w:rsidR="004A5750">
        <w:t>, n</w:t>
      </w:r>
      <w:r w:rsidRPr="004F2A8A">
        <w:t>o comments were filed.</w:t>
      </w:r>
    </w:p>
    <w:p w:rsidR="004F2A8A" w:rsidRDefault="004F2A8A" w:rsidP="00BB7DCF">
      <w:pPr>
        <w:spacing w:line="480" w:lineRule="auto"/>
        <w:jc w:val="center"/>
        <w:rPr>
          <w:b/>
        </w:rPr>
      </w:pPr>
      <w:r>
        <w:rPr>
          <w:b/>
        </w:rPr>
        <w:t>AMENDMENTS</w:t>
      </w:r>
    </w:p>
    <w:p w:rsidR="004F2A8A" w:rsidRPr="004F2A8A" w:rsidRDefault="00214B0B" w:rsidP="000A0036">
      <w:pPr>
        <w:spacing w:line="480" w:lineRule="auto"/>
        <w:ind w:firstLine="720"/>
      </w:pPr>
      <w:r>
        <w:t>T</w:t>
      </w:r>
      <w:r w:rsidR="004F2A8A" w:rsidRPr="00BB7DCF">
        <w:t>he more significant amendments</w:t>
      </w:r>
      <w:r>
        <w:t xml:space="preserve"> </w:t>
      </w:r>
      <w:r w:rsidR="00FF2CE6">
        <w:t>are to subdivision</w:t>
      </w:r>
      <w:r w:rsidR="002628C7">
        <w:t>s</w:t>
      </w:r>
      <w:r w:rsidR="00FF2CE6">
        <w:t xml:space="preserve"> (b) </w:t>
      </w:r>
      <w:r w:rsidR="00FF2CE6" w:rsidRPr="00FF2CE6">
        <w:rPr>
          <w:bCs/>
        </w:rPr>
        <w:t xml:space="preserve">(Type and Size) </w:t>
      </w:r>
      <w:r w:rsidR="00FF2CE6">
        <w:t xml:space="preserve">and (d) </w:t>
      </w:r>
      <w:r w:rsidR="00FF2CE6" w:rsidRPr="00FF2CE6">
        <w:t xml:space="preserve">(Recording Space) </w:t>
      </w:r>
      <w:r w:rsidR="00FF2CE6">
        <w:t xml:space="preserve">of the rule.  </w:t>
      </w:r>
      <w:r w:rsidR="0013313B">
        <w:t>In order to make it easier for clerks to scan</w:t>
      </w:r>
      <w:r w:rsidR="0013313B" w:rsidRPr="0013313B">
        <w:rPr>
          <w:bCs/>
        </w:rPr>
        <w:t xml:space="preserve"> paper documents</w:t>
      </w:r>
      <w:r w:rsidR="0013313B">
        <w:rPr>
          <w:bCs/>
        </w:rPr>
        <w:t>,</w:t>
      </w:r>
      <w:r w:rsidR="0056187E">
        <w:t xml:space="preserve"> s</w:t>
      </w:r>
      <w:r w:rsidR="004F2A8A" w:rsidRPr="0056187E">
        <w:t xml:space="preserve">ubdivision </w:t>
      </w:r>
      <w:r w:rsidR="004F2A8A" w:rsidRPr="0056187E">
        <w:rPr>
          <w:bCs/>
        </w:rPr>
        <w:t xml:space="preserve">(b) </w:t>
      </w:r>
      <w:r w:rsidR="0013313B">
        <w:rPr>
          <w:bCs/>
        </w:rPr>
        <w:t>is amended</w:t>
      </w:r>
      <w:r w:rsidR="001A7DB7">
        <w:rPr>
          <w:bCs/>
        </w:rPr>
        <w:t>, as proposed,</w:t>
      </w:r>
      <w:r w:rsidR="0013313B">
        <w:rPr>
          <w:bCs/>
        </w:rPr>
        <w:t xml:space="preserve"> to </w:t>
      </w:r>
      <w:r w:rsidR="004F2A8A" w:rsidRPr="004F2A8A">
        <w:rPr>
          <w:bCs/>
        </w:rPr>
        <w:t xml:space="preserve">require </w:t>
      </w:r>
      <w:r>
        <w:rPr>
          <w:bCs/>
        </w:rPr>
        <w:t>paper documents filed with the court</w:t>
      </w:r>
      <w:r w:rsidR="004F2A8A" w:rsidRPr="004F2A8A">
        <w:rPr>
          <w:bCs/>
        </w:rPr>
        <w:t xml:space="preserve"> to be </w:t>
      </w:r>
      <w:r w:rsidR="0013313B">
        <w:rPr>
          <w:bCs/>
        </w:rPr>
        <w:t>legibly typewritten or printed</w:t>
      </w:r>
      <w:r w:rsidR="004F2A8A" w:rsidRPr="004F2A8A">
        <w:rPr>
          <w:bCs/>
        </w:rPr>
        <w:t xml:space="preserve">, </w:t>
      </w:r>
      <w:r w:rsidR="0013313B">
        <w:rPr>
          <w:bCs/>
        </w:rPr>
        <w:t xml:space="preserve">on </w:t>
      </w:r>
      <w:r w:rsidR="004F2A8A" w:rsidRPr="004F2A8A">
        <w:rPr>
          <w:bCs/>
        </w:rPr>
        <w:t xml:space="preserve">only </w:t>
      </w:r>
      <w:r w:rsidR="00E4214F">
        <w:rPr>
          <w:bCs/>
        </w:rPr>
        <w:t>one side of letter</w:t>
      </w:r>
      <w:r w:rsidR="00F56905">
        <w:rPr>
          <w:bCs/>
        </w:rPr>
        <w:t>-</w:t>
      </w:r>
      <w:r w:rsidR="00E4214F">
        <w:rPr>
          <w:bCs/>
        </w:rPr>
        <w:t xml:space="preserve">sized </w:t>
      </w:r>
      <w:r w:rsidR="004F2A8A" w:rsidRPr="004F2A8A">
        <w:rPr>
          <w:bCs/>
        </w:rPr>
        <w:t>white recycled paper with one</w:t>
      </w:r>
      <w:r w:rsidR="00F56905">
        <w:rPr>
          <w:bCs/>
        </w:rPr>
        <w:t>-</w:t>
      </w:r>
      <w:r w:rsidR="004F2A8A" w:rsidRPr="004F2A8A">
        <w:rPr>
          <w:bCs/>
        </w:rPr>
        <w:t xml:space="preserve">inch margins and consecutively numbered pages.  </w:t>
      </w:r>
      <w:r>
        <w:rPr>
          <w:bCs/>
        </w:rPr>
        <w:t>S</w:t>
      </w:r>
      <w:r w:rsidR="004F2A8A" w:rsidRPr="004F2A8A">
        <w:rPr>
          <w:bCs/>
        </w:rPr>
        <w:t>ubdivision</w:t>
      </w:r>
      <w:r w:rsidR="00D03C3A">
        <w:rPr>
          <w:bCs/>
        </w:rPr>
        <w:t xml:space="preserve"> (b) </w:t>
      </w:r>
      <w:r>
        <w:rPr>
          <w:bCs/>
        </w:rPr>
        <w:t xml:space="preserve">also </w:t>
      </w:r>
      <w:r w:rsidR="00D03C3A">
        <w:rPr>
          <w:bCs/>
        </w:rPr>
        <w:t>is</w:t>
      </w:r>
      <w:r w:rsidR="00360C36">
        <w:rPr>
          <w:bCs/>
        </w:rPr>
        <w:t xml:space="preserve"> </w:t>
      </w:r>
      <w:r>
        <w:rPr>
          <w:bCs/>
        </w:rPr>
        <w:t>amended</w:t>
      </w:r>
      <w:r w:rsidR="006A2495">
        <w:rPr>
          <w:bCs/>
        </w:rPr>
        <w:t>, as proposed,</w:t>
      </w:r>
      <w:r w:rsidR="004F2A8A" w:rsidRPr="004F2A8A">
        <w:rPr>
          <w:bCs/>
        </w:rPr>
        <w:t xml:space="preserve"> to clarify that all documents electronically filed must </w:t>
      </w:r>
      <w:r w:rsidR="003E648A">
        <w:rPr>
          <w:bCs/>
        </w:rPr>
        <w:t xml:space="preserve">be </w:t>
      </w:r>
      <w:r w:rsidR="004F2A8A" w:rsidRPr="004F2A8A">
        <w:rPr>
          <w:bCs/>
        </w:rPr>
        <w:t>filed in a format capable of being electronically searched consistent with state and federal accessibility requirements.</w:t>
      </w:r>
      <w:r w:rsidR="002628C7">
        <w:t xml:space="preserve">  </w:t>
      </w:r>
      <w:r w:rsidR="004F2A8A" w:rsidRPr="00CA164E">
        <w:t>Subdivision (d) (Recording Space)</w:t>
      </w:r>
      <w:r w:rsidR="00CA164E">
        <w:t xml:space="preserve"> is amended</w:t>
      </w:r>
      <w:r w:rsidR="002E19BF">
        <w:t>, as proposed,</w:t>
      </w:r>
      <w:r w:rsidR="00CA164E">
        <w:t xml:space="preserve"> to add</w:t>
      </w:r>
      <w:r w:rsidR="004F2A8A" w:rsidRPr="004F2A8A">
        <w:t xml:space="preserve"> </w:t>
      </w:r>
      <w:r w:rsidR="00B43A7D">
        <w:t xml:space="preserve">a </w:t>
      </w:r>
      <w:r w:rsidR="006E4DDC">
        <w:t>one</w:t>
      </w:r>
      <w:r w:rsidR="00B43A7D">
        <w:t>-inch margin requirement</w:t>
      </w:r>
      <w:r w:rsidR="00325B2B">
        <w:t xml:space="preserve"> and </w:t>
      </w:r>
      <w:r w:rsidR="004F2A8A" w:rsidRPr="004F2A8A">
        <w:t>format, location, and font-size requireme</w:t>
      </w:r>
      <w:r w:rsidR="006E4DDC">
        <w:t xml:space="preserve">nts for the </w:t>
      </w:r>
      <w:r w:rsidR="00F56905">
        <w:t xml:space="preserve">date and time </w:t>
      </w:r>
      <w:r w:rsidR="006E4DDC">
        <w:t>stamp</w:t>
      </w:r>
      <w:r w:rsidR="004F2A8A" w:rsidRPr="004F2A8A">
        <w:t xml:space="preserve"> on electronically filed documents</w:t>
      </w:r>
      <w:r w:rsidR="00325B2B">
        <w:t>.</w:t>
      </w:r>
    </w:p>
    <w:p w:rsidR="0030161A" w:rsidRPr="004F2A8A" w:rsidRDefault="004F2A8A" w:rsidP="004F2A8A">
      <w:pPr>
        <w:spacing w:line="480" w:lineRule="auto"/>
        <w:jc w:val="center"/>
        <w:rPr>
          <w:b/>
        </w:rPr>
      </w:pPr>
      <w:r>
        <w:rPr>
          <w:b/>
        </w:rPr>
        <w:t>CONCLUSION</w:t>
      </w:r>
    </w:p>
    <w:p w:rsidR="0030161A" w:rsidRPr="0030161A" w:rsidRDefault="0030161A" w:rsidP="0030161A">
      <w:pPr>
        <w:spacing w:line="480" w:lineRule="auto"/>
      </w:pPr>
      <w:r w:rsidRPr="0030161A">
        <w:tab/>
        <w:t xml:space="preserve">Accordingly, we amend the Florida Rules of Judicial Administration as reflected in the appendix to this opinion.  New language is indicated by </w:t>
      </w:r>
      <w:r w:rsidRPr="0030161A">
        <w:lastRenderedPageBreak/>
        <w:t>underscoring; deletions are indicated by struck-through type.  The amendments shall become effective January 1, 2015, at 12:01 a.m.</w:t>
      </w:r>
    </w:p>
    <w:p w:rsidR="0030161A" w:rsidRDefault="0030161A" w:rsidP="0030161A">
      <w:pPr>
        <w:spacing w:line="480" w:lineRule="auto"/>
      </w:pPr>
      <w:r w:rsidRPr="0030161A">
        <w:tab/>
        <w:t>It is so ordered.</w:t>
      </w:r>
    </w:p>
    <w:p w:rsidR="00DB75AA" w:rsidRDefault="00953317" w:rsidP="00DB75AA">
      <w:r>
        <w:t>LABARGA, C.J., and</w:t>
      </w:r>
      <w:r w:rsidR="00DB75AA">
        <w:t xml:space="preserve"> PARIENTE, LEWIS, QUINCE, CANADY, POLSTON, and PERRY, JJ., concur.</w:t>
      </w:r>
    </w:p>
    <w:p w:rsidR="00DB75AA" w:rsidRDefault="00DB75AA" w:rsidP="00DB75AA"/>
    <w:p w:rsidR="00DB75AA" w:rsidRDefault="00DB75AA" w:rsidP="00DB75AA">
      <w:r>
        <w:t xml:space="preserve">THE FILING OF A MOTION FOR REHEARING SHALL NOT ALTER THE EFFECTIVE DATE OF THESE AMENDMENTS. </w:t>
      </w:r>
    </w:p>
    <w:p w:rsidR="00953317" w:rsidRDefault="00953317" w:rsidP="00DB75AA"/>
    <w:p w:rsidR="00953317" w:rsidRDefault="00953317" w:rsidP="00953317">
      <w:pPr>
        <w:pStyle w:val="Default"/>
        <w:rPr>
          <w:sz w:val="28"/>
          <w:szCs w:val="28"/>
        </w:rPr>
      </w:pPr>
      <w:r>
        <w:rPr>
          <w:sz w:val="28"/>
          <w:szCs w:val="28"/>
        </w:rPr>
        <w:t xml:space="preserve">Original Proceedings – Florida Rules of Judicial Administration </w:t>
      </w:r>
    </w:p>
    <w:p w:rsidR="0036257C" w:rsidRDefault="0036257C" w:rsidP="00953317">
      <w:pPr>
        <w:pStyle w:val="Default"/>
        <w:rPr>
          <w:sz w:val="28"/>
          <w:szCs w:val="28"/>
        </w:rPr>
      </w:pPr>
    </w:p>
    <w:p w:rsidR="00953317" w:rsidRDefault="00953317" w:rsidP="00953317">
      <w:pPr>
        <w:pStyle w:val="Default"/>
        <w:rPr>
          <w:sz w:val="28"/>
          <w:szCs w:val="28"/>
        </w:rPr>
      </w:pPr>
      <w:r>
        <w:rPr>
          <w:sz w:val="28"/>
          <w:szCs w:val="28"/>
        </w:rPr>
        <w:t xml:space="preserve">Murray Bruce Silverstein, Chair, Rules of Judicial Administration Committee, Greenberg Traurig, P.A., Tampa, Florida, Judge Jon Berkley Morgan, Past Chair, Rules of Judicial Administration Committee, Kissimmee, Florida, John F. Harkness, Jr., Executive Director, and Krys Godwin, Bar Staff Liaison, The Florida Bar, Tallahassee, Florida, </w:t>
      </w:r>
    </w:p>
    <w:p w:rsidR="00953317" w:rsidRDefault="00953317" w:rsidP="00953317">
      <w:pPr>
        <w:pStyle w:val="Default"/>
        <w:rPr>
          <w:sz w:val="28"/>
          <w:szCs w:val="28"/>
        </w:rPr>
      </w:pPr>
    </w:p>
    <w:p w:rsidR="00953317" w:rsidRDefault="00953317" w:rsidP="00953317">
      <w:pPr>
        <w:ind w:firstLine="720"/>
      </w:pPr>
      <w:r>
        <w:t>for Petitioner</w:t>
      </w:r>
    </w:p>
    <w:p w:rsidR="00DB75AA" w:rsidRPr="0030161A" w:rsidRDefault="00DB75AA" w:rsidP="0030161A">
      <w:pPr>
        <w:spacing w:line="480" w:lineRule="auto"/>
      </w:pPr>
    </w:p>
    <w:p w:rsidR="000238B6" w:rsidRDefault="000238B6" w:rsidP="0030161A">
      <w:pPr>
        <w:spacing w:line="480" w:lineRule="auto"/>
      </w:pPr>
      <w:r>
        <w:br w:type="page"/>
      </w:r>
    </w:p>
    <w:p w:rsidR="0030161A" w:rsidRDefault="000238B6" w:rsidP="000238B6">
      <w:pPr>
        <w:spacing w:line="480" w:lineRule="auto"/>
        <w:jc w:val="center"/>
      </w:pPr>
      <w:r>
        <w:rPr>
          <w:b/>
        </w:rPr>
        <w:lastRenderedPageBreak/>
        <w:t>APPENDIX</w:t>
      </w:r>
    </w:p>
    <w:p w:rsidR="00DA227F" w:rsidRPr="00DA227F" w:rsidRDefault="00DA227F" w:rsidP="00DA227F">
      <w:pPr>
        <w:spacing w:before="280" w:after="280"/>
        <w:ind w:left="2160" w:hanging="2160"/>
        <w:rPr>
          <w:rFonts w:eastAsia="Calibri"/>
          <w:b/>
          <w:szCs w:val="22"/>
        </w:rPr>
      </w:pPr>
      <w:r w:rsidRPr="00DA227F">
        <w:rPr>
          <w:rFonts w:eastAsia="Calibri"/>
          <w:b/>
          <w:szCs w:val="22"/>
        </w:rPr>
        <w:t>RULE 2.520.</w:t>
      </w:r>
      <w:r w:rsidRPr="00DA227F">
        <w:rPr>
          <w:rFonts w:eastAsia="Calibri"/>
          <w:b/>
          <w:szCs w:val="22"/>
        </w:rPr>
        <w:tab/>
        <w:t>DOCUMENTS</w:t>
      </w:r>
    </w:p>
    <w:p w:rsidR="00DA227F" w:rsidRPr="00DA227F" w:rsidRDefault="00DA227F" w:rsidP="00DA227F">
      <w:pPr>
        <w:spacing w:before="280" w:after="280"/>
        <w:ind w:firstLine="720"/>
        <w:rPr>
          <w:rFonts w:eastAsia="Calibri"/>
          <w:szCs w:val="22"/>
        </w:rPr>
      </w:pPr>
      <w:r w:rsidRPr="00DA227F">
        <w:rPr>
          <w:rFonts w:eastAsia="Calibri"/>
          <w:b/>
          <w:bCs/>
          <w:szCs w:val="22"/>
        </w:rPr>
        <w:t>(a)</w:t>
      </w:r>
      <w:r w:rsidRPr="00DA227F">
        <w:rPr>
          <w:rFonts w:eastAsia="Calibri"/>
          <w:b/>
          <w:bCs/>
          <w:szCs w:val="22"/>
        </w:rPr>
        <w:tab/>
        <w:t xml:space="preserve">Electronic Filing Mandatory. </w:t>
      </w:r>
      <w:r w:rsidRPr="00DA227F">
        <w:rPr>
          <w:rFonts w:eastAsia="Calibri"/>
          <w:szCs w:val="22"/>
        </w:rPr>
        <w:t>All documents filed in any court shall be filed by electronic transmission in accordance with rule 2.525.  “Documents” means pleadings, motions, petitions, memoranda, briefs, notices, exhibits, declarations, affidavits, orders, judgments, decrees, writs, opinions, and any</w:t>
      </w:r>
      <w:r w:rsidRPr="00DA227F">
        <w:rPr>
          <w:rFonts w:eastAsia="Calibri"/>
          <w:strike/>
          <w:szCs w:val="22"/>
        </w:rPr>
        <w:t xml:space="preserve"> other </w:t>
      </w:r>
      <w:r w:rsidRPr="00DA227F">
        <w:rPr>
          <w:rFonts w:eastAsia="Calibri"/>
          <w:szCs w:val="22"/>
        </w:rPr>
        <w:t>paper or writing submitted to a court.</w:t>
      </w:r>
    </w:p>
    <w:p w:rsidR="00DA227F" w:rsidRPr="00DA227F" w:rsidRDefault="00DA227F" w:rsidP="00DA227F">
      <w:pPr>
        <w:spacing w:before="280" w:after="280"/>
        <w:ind w:firstLine="720"/>
        <w:rPr>
          <w:rFonts w:eastAsia="Calibri"/>
          <w:szCs w:val="22"/>
        </w:rPr>
      </w:pPr>
      <w:r w:rsidRPr="00DA227F">
        <w:rPr>
          <w:rFonts w:eastAsia="Calibri"/>
          <w:b/>
          <w:bCs/>
          <w:szCs w:val="22"/>
        </w:rPr>
        <w:t>(b)</w:t>
      </w:r>
      <w:r w:rsidRPr="00DA227F">
        <w:rPr>
          <w:rFonts w:eastAsia="Calibri"/>
          <w:b/>
          <w:bCs/>
          <w:szCs w:val="22"/>
        </w:rPr>
        <w:tab/>
        <w:t xml:space="preserve">Type and Size. </w:t>
      </w:r>
      <w:r w:rsidRPr="00DA227F">
        <w:rPr>
          <w:rFonts w:eastAsia="Calibri"/>
          <w:szCs w:val="22"/>
        </w:rPr>
        <w:t xml:space="preserve">Documents subject to the exceptions set forth in rule 2.525(d) shall be </w:t>
      </w:r>
      <w:r w:rsidRPr="00DA227F">
        <w:rPr>
          <w:rFonts w:eastAsia="Calibri"/>
          <w:szCs w:val="22"/>
          <w:u w:val="single"/>
        </w:rPr>
        <w:t xml:space="preserve">legibly typewritten or printed, on only one side of letter sized (8 1/2 by 11 inch) white recycled paper with one inch margins and consecutively numbered pages </w:t>
      </w:r>
      <w:r w:rsidRPr="00DA227F">
        <w:rPr>
          <w:rFonts w:eastAsia="Calibri"/>
          <w:strike/>
          <w:szCs w:val="22"/>
        </w:rPr>
        <w:t>filed on recycled paper measuring 8 ½ X 11 inches</w:t>
      </w:r>
      <w:r w:rsidRPr="00DA227F">
        <w:rPr>
          <w:rFonts w:eastAsia="Calibri"/>
          <w:szCs w:val="22"/>
        </w:rPr>
        <w:t>. For purposes of this rule, paper is recycled if it contains a minimum content of 50 percent waste paper.  </w:t>
      </w:r>
      <w:r w:rsidRPr="00DA227F">
        <w:rPr>
          <w:rFonts w:eastAsia="Calibri"/>
          <w:strike/>
          <w:szCs w:val="22"/>
        </w:rPr>
        <w:t>Xerographic r</w:t>
      </w:r>
      <w:r w:rsidRPr="00DA227F">
        <w:rPr>
          <w:rFonts w:eastAsia="Calibri"/>
          <w:szCs w:val="22"/>
          <w:u w:val="single"/>
        </w:rPr>
        <w:t>R</w:t>
      </w:r>
      <w:r w:rsidRPr="00DA227F">
        <w:rPr>
          <w:rFonts w:eastAsia="Calibri"/>
          <w:szCs w:val="22"/>
        </w:rPr>
        <w:t xml:space="preserve">eduction of legal-size (8 1/2 by 14 inches) documents to letter size (8 1/2 by 11 inches) is prohibited. All </w:t>
      </w:r>
      <w:r w:rsidRPr="00DA227F">
        <w:rPr>
          <w:rFonts w:eastAsia="Calibri"/>
          <w:strike/>
          <w:szCs w:val="22"/>
        </w:rPr>
        <w:t xml:space="preserve">other </w:t>
      </w:r>
      <w:r w:rsidRPr="00DA227F">
        <w:rPr>
          <w:rFonts w:eastAsia="Calibri"/>
          <w:szCs w:val="22"/>
        </w:rPr>
        <w:t xml:space="preserve">documents filed by electronic transmission shall </w:t>
      </w:r>
      <w:r w:rsidRPr="00DA227F">
        <w:rPr>
          <w:rFonts w:eastAsia="Calibri"/>
          <w:szCs w:val="22"/>
          <w:u w:val="single"/>
        </w:rPr>
        <w:t xml:space="preserve">comply with rule 2.526 and </w:t>
      </w:r>
      <w:r w:rsidRPr="00DA227F">
        <w:rPr>
          <w:rFonts w:eastAsia="Calibri"/>
          <w:szCs w:val="22"/>
        </w:rPr>
        <w:t xml:space="preserve">be filed in a format capable of being </w:t>
      </w:r>
      <w:r w:rsidRPr="00DA227F">
        <w:rPr>
          <w:rFonts w:eastAsia="Calibri"/>
          <w:szCs w:val="22"/>
          <w:u w:val="single"/>
        </w:rPr>
        <w:t xml:space="preserve">electronically searched and </w:t>
      </w:r>
      <w:r w:rsidRPr="00DA227F">
        <w:rPr>
          <w:rFonts w:eastAsia="Calibri"/>
          <w:szCs w:val="22"/>
        </w:rPr>
        <w:t>printed in a format consistent with the provisions of this rule.</w:t>
      </w:r>
    </w:p>
    <w:p w:rsidR="00DA227F" w:rsidRPr="00DA227F" w:rsidRDefault="00DA227F" w:rsidP="00DA227F">
      <w:pPr>
        <w:spacing w:before="280" w:after="280"/>
        <w:ind w:firstLine="720"/>
        <w:rPr>
          <w:rFonts w:eastAsia="Calibri"/>
          <w:szCs w:val="22"/>
        </w:rPr>
      </w:pPr>
      <w:r w:rsidRPr="00DA227F">
        <w:rPr>
          <w:rFonts w:eastAsia="Calibri"/>
          <w:b/>
          <w:bCs/>
          <w:szCs w:val="22"/>
        </w:rPr>
        <w:t>(c)</w:t>
      </w:r>
      <w:r w:rsidRPr="00DA227F">
        <w:rPr>
          <w:rFonts w:eastAsia="Calibri"/>
          <w:b/>
          <w:bCs/>
          <w:szCs w:val="22"/>
        </w:rPr>
        <w:tab/>
        <w:t xml:space="preserve">Exhibits. </w:t>
      </w:r>
      <w:r w:rsidRPr="00DA227F">
        <w:rPr>
          <w:rFonts w:eastAsia="Calibri"/>
          <w:szCs w:val="22"/>
        </w:rPr>
        <w:t xml:space="preserve">Any exhibit or attachment </w:t>
      </w:r>
      <w:r w:rsidRPr="00DA227F">
        <w:rPr>
          <w:rFonts w:eastAsia="Calibri"/>
          <w:strike/>
          <w:szCs w:val="22"/>
        </w:rPr>
        <w:t>filed with pleadings or papers</w:t>
      </w:r>
      <w:r w:rsidRPr="00DA227F">
        <w:rPr>
          <w:rFonts w:eastAsia="Calibri"/>
          <w:szCs w:val="22"/>
          <w:u w:val="single"/>
        </w:rPr>
        <w:t>to any document</w:t>
      </w:r>
      <w:r w:rsidRPr="00DA227F">
        <w:rPr>
          <w:rFonts w:eastAsia="Calibri"/>
          <w:szCs w:val="22"/>
        </w:rPr>
        <w:t xml:space="preserve"> may be filed in its original size.</w:t>
      </w:r>
    </w:p>
    <w:p w:rsidR="00DA227F" w:rsidRPr="00DA227F" w:rsidRDefault="00DA227F" w:rsidP="00DA227F">
      <w:pPr>
        <w:spacing w:before="280" w:after="280"/>
        <w:ind w:firstLine="720"/>
        <w:rPr>
          <w:rFonts w:eastAsia="Calibri"/>
          <w:b/>
          <w:szCs w:val="22"/>
        </w:rPr>
      </w:pPr>
      <w:r w:rsidRPr="00DA227F">
        <w:rPr>
          <w:rFonts w:eastAsia="Calibri"/>
          <w:b/>
          <w:szCs w:val="22"/>
        </w:rPr>
        <w:t>(d)</w:t>
      </w:r>
      <w:r w:rsidRPr="00DA227F">
        <w:rPr>
          <w:rFonts w:eastAsia="Calibri"/>
          <w:b/>
          <w:szCs w:val="22"/>
        </w:rPr>
        <w:tab/>
        <w:t>Recording Space</w:t>
      </w:r>
      <w:r w:rsidRPr="00DA227F">
        <w:rPr>
          <w:rFonts w:eastAsia="Calibri"/>
          <w:b/>
          <w:szCs w:val="22"/>
          <w:u w:val="single"/>
        </w:rPr>
        <w:t xml:space="preserve"> and Space for Date and Time Stamps</w:t>
      </w:r>
      <w:r w:rsidRPr="00DA227F">
        <w:rPr>
          <w:rFonts w:eastAsia="Calibri"/>
          <w:b/>
          <w:szCs w:val="22"/>
        </w:rPr>
        <w:t>.</w:t>
      </w:r>
    </w:p>
    <w:p w:rsidR="00DA227F" w:rsidRPr="00DA227F" w:rsidRDefault="00DA227F" w:rsidP="00DA227F">
      <w:pPr>
        <w:spacing w:before="280" w:after="280"/>
        <w:ind w:firstLine="1440"/>
        <w:rPr>
          <w:rFonts w:eastAsia="Calibri"/>
          <w:szCs w:val="22"/>
        </w:rPr>
      </w:pPr>
      <w:r w:rsidRPr="00DA227F">
        <w:rPr>
          <w:rFonts w:eastAsia="Calibri"/>
          <w:szCs w:val="22"/>
          <w:u w:val="single"/>
        </w:rPr>
        <w:t>(1)</w:t>
      </w:r>
      <w:r w:rsidRPr="00DA227F">
        <w:rPr>
          <w:rFonts w:eastAsia="Calibri"/>
          <w:szCs w:val="22"/>
          <w:u w:val="single"/>
        </w:rPr>
        <w:tab/>
      </w:r>
      <w:r w:rsidRPr="00DA227F">
        <w:rPr>
          <w:rFonts w:eastAsia="Calibri"/>
          <w:szCs w:val="22"/>
        </w:rPr>
        <w:t xml:space="preserve">On all </w:t>
      </w:r>
      <w:r w:rsidRPr="00DA227F">
        <w:rPr>
          <w:rFonts w:eastAsia="Calibri"/>
          <w:strike/>
          <w:szCs w:val="22"/>
        </w:rPr>
        <w:t xml:space="preserve">papers and </w:t>
      </w:r>
      <w:r w:rsidRPr="00DA227F">
        <w:rPr>
          <w:rFonts w:eastAsia="Calibri"/>
          <w:szCs w:val="22"/>
        </w:rPr>
        <w:t xml:space="preserve">documents prepared and filed by the court or by any party to a proceeding which are to be recorded in the public records of any county, including but not limited to final money judgments and notices of lis pendens, a 3-inch by 3-inch space at the top right-hand corner on the first page and a 1-inch by 3-inch space at the top right-hand corner on each subsequent page shall be left blank and reserved for use by the clerk of court. </w:t>
      </w:r>
    </w:p>
    <w:p w:rsidR="00DA227F" w:rsidRPr="00DA227F" w:rsidRDefault="00DA227F" w:rsidP="00DA227F">
      <w:pPr>
        <w:spacing w:before="280" w:after="280"/>
        <w:ind w:firstLine="1440"/>
        <w:rPr>
          <w:rFonts w:eastAsia="Calibri"/>
          <w:szCs w:val="22"/>
          <w:u w:val="single"/>
        </w:rPr>
      </w:pPr>
      <w:r w:rsidRPr="00DA227F">
        <w:rPr>
          <w:rFonts w:eastAsia="Calibri"/>
          <w:szCs w:val="22"/>
          <w:u w:val="single"/>
        </w:rPr>
        <w:t>(2)</w:t>
      </w:r>
      <w:r w:rsidRPr="00DA227F">
        <w:rPr>
          <w:rFonts w:eastAsia="Calibri"/>
          <w:szCs w:val="22"/>
          <w:u w:val="single"/>
        </w:rPr>
        <w:tab/>
        <w:t>On all documents filed with the court, a 1-inch margin on all sides must be left blank for date and time stamps.</w:t>
      </w:r>
    </w:p>
    <w:p w:rsidR="00DA227F" w:rsidRPr="00DA227F" w:rsidRDefault="00DA227F" w:rsidP="00DA227F">
      <w:pPr>
        <w:spacing w:before="280" w:after="280"/>
        <w:ind w:firstLine="2160"/>
        <w:rPr>
          <w:rFonts w:eastAsia="Calibri"/>
          <w:szCs w:val="32"/>
          <w:u w:val="single"/>
        </w:rPr>
      </w:pPr>
      <w:r w:rsidRPr="00DA227F">
        <w:rPr>
          <w:rFonts w:eastAsia="Calibri"/>
          <w:b/>
          <w:szCs w:val="32"/>
          <w:u w:val="single"/>
        </w:rPr>
        <w:t>(A)</w:t>
      </w:r>
      <w:r w:rsidRPr="00DA227F">
        <w:rPr>
          <w:rFonts w:eastAsia="Calibri"/>
          <w:b/>
          <w:szCs w:val="32"/>
          <w:u w:val="single"/>
        </w:rPr>
        <w:tab/>
        <w:t>Format.</w:t>
      </w:r>
      <w:r w:rsidRPr="00DA227F">
        <w:rPr>
          <w:rFonts w:eastAsia="Calibri"/>
          <w:szCs w:val="32"/>
          <w:u w:val="single"/>
        </w:rPr>
        <w:t xml:space="preserve"> Date and time stamp formats must include a single line detailing the name of the court or Portal and shall not include clerk seals.  Date stamps must be eight numerical digits separated by slashes with two digits for the month, two digits for the date, and four digits for the year.  Time </w:t>
      </w:r>
      <w:r w:rsidRPr="00DA227F">
        <w:rPr>
          <w:rFonts w:eastAsia="Calibri"/>
          <w:szCs w:val="32"/>
          <w:u w:val="single"/>
        </w:rPr>
        <w:lastRenderedPageBreak/>
        <w:t>stamps must be formatted in twelve hour time frames with a.m. or p.m. included. The font size and type must meet the Americans with Disabilities Act requirements.</w:t>
      </w:r>
    </w:p>
    <w:p w:rsidR="00DA227F" w:rsidRPr="00DA227F" w:rsidRDefault="00DA227F" w:rsidP="00DA227F">
      <w:pPr>
        <w:spacing w:before="280" w:after="280"/>
        <w:ind w:firstLine="2160"/>
        <w:rPr>
          <w:rFonts w:eastAsia="Calibri"/>
          <w:szCs w:val="32"/>
          <w:u w:val="single"/>
        </w:rPr>
      </w:pPr>
      <w:r w:rsidRPr="00DA227F">
        <w:rPr>
          <w:rFonts w:eastAsia="Calibri"/>
          <w:b/>
          <w:szCs w:val="32"/>
          <w:u w:val="single"/>
        </w:rPr>
        <w:t>(B)</w:t>
      </w:r>
      <w:r w:rsidRPr="00DA227F">
        <w:rPr>
          <w:rFonts w:eastAsia="Calibri"/>
          <w:b/>
          <w:szCs w:val="32"/>
          <w:u w:val="single"/>
        </w:rPr>
        <w:tab/>
        <w:t>Location.</w:t>
      </w:r>
      <w:r w:rsidRPr="00DA227F">
        <w:rPr>
          <w:rFonts w:eastAsia="Calibri"/>
          <w:szCs w:val="32"/>
          <w:u w:val="single"/>
        </w:rPr>
        <w:t xml:space="preserve"> The Portal stamp shall be on the top left of the document.  The Florida Supreme Court and district courts of appeal stamps shall be on the left margin horizontally.  Any administrative agency stamp shall be on the right margin horizontally.  The clerk’s stamp for circuit and county courts shall be on the bottom of the document. </w:t>
      </w:r>
    </w:p>
    <w:p w:rsidR="00DA227F" w:rsidRPr="00DA227F" w:rsidRDefault="00DA227F" w:rsidP="00DA227F">
      <w:pPr>
        <w:spacing w:before="280" w:after="280"/>
        <w:ind w:firstLine="720"/>
        <w:rPr>
          <w:rFonts w:eastAsia="Calibri"/>
          <w:szCs w:val="22"/>
        </w:rPr>
      </w:pPr>
      <w:r w:rsidRPr="00DA227F">
        <w:rPr>
          <w:rFonts w:eastAsia="Calibri"/>
          <w:b/>
          <w:bCs/>
          <w:szCs w:val="22"/>
        </w:rPr>
        <w:t>(e)</w:t>
      </w:r>
      <w:r w:rsidRPr="00DA227F">
        <w:rPr>
          <w:rFonts w:eastAsia="Calibri"/>
          <w:b/>
          <w:bCs/>
          <w:szCs w:val="22"/>
        </w:rPr>
        <w:tab/>
        <w:t>Exceptions to Recording Space</w:t>
      </w:r>
      <w:r w:rsidRPr="00DA227F">
        <w:rPr>
          <w:rFonts w:eastAsia="Calibri"/>
          <w:szCs w:val="22"/>
        </w:rPr>
        <w:t xml:space="preserve">. Any </w:t>
      </w:r>
      <w:r w:rsidRPr="00DA227F">
        <w:rPr>
          <w:rFonts w:eastAsia="Calibri"/>
          <w:strike/>
          <w:szCs w:val="22"/>
        </w:rPr>
        <w:t xml:space="preserve">papers or </w:t>
      </w:r>
      <w:r w:rsidRPr="00DA227F">
        <w:rPr>
          <w:rFonts w:eastAsia="Calibri"/>
          <w:szCs w:val="22"/>
        </w:rPr>
        <w:t>documents created by persons or entities over which the filing party has no control, including but not limited to wills, codicils, trusts, or other testamentary documents; documents prepared or executed by any public officer; documents prepared, executed, acknowledged, or proved outside of the State of Florida; or documents created by State or Federal government agencies, may be filed without the space required by this rule.</w:t>
      </w:r>
    </w:p>
    <w:p w:rsidR="00DA227F" w:rsidRPr="00DA227F" w:rsidRDefault="00DA227F" w:rsidP="00DA227F">
      <w:pPr>
        <w:spacing w:before="280" w:after="280"/>
        <w:ind w:firstLine="720"/>
        <w:rPr>
          <w:rFonts w:eastAsia="Calibri"/>
          <w:szCs w:val="22"/>
        </w:rPr>
      </w:pPr>
      <w:r w:rsidRPr="00DA227F">
        <w:rPr>
          <w:rFonts w:eastAsia="Calibri"/>
          <w:b/>
          <w:bCs/>
          <w:szCs w:val="22"/>
        </w:rPr>
        <w:t>(f)</w:t>
      </w:r>
      <w:r w:rsidRPr="00DA227F">
        <w:rPr>
          <w:rFonts w:eastAsia="Calibri"/>
          <w:b/>
          <w:bCs/>
          <w:szCs w:val="22"/>
        </w:rPr>
        <w:tab/>
        <w:t xml:space="preserve">Noncompliance. </w:t>
      </w:r>
      <w:r w:rsidRPr="00DA227F">
        <w:rPr>
          <w:rFonts w:eastAsia="Calibri"/>
          <w:szCs w:val="22"/>
        </w:rPr>
        <w:t>No clerk of court shall refuse</w:t>
      </w:r>
      <w:r w:rsidRPr="00DA227F">
        <w:rPr>
          <w:rFonts w:eastAsia="Calibri"/>
          <w:strike/>
          <w:szCs w:val="22"/>
        </w:rPr>
        <w:t xml:space="preserve"> for filing</w:t>
      </w:r>
      <w:r w:rsidRPr="00DA227F">
        <w:rPr>
          <w:rFonts w:eastAsia="Calibri"/>
          <w:szCs w:val="22"/>
          <w:u w:val="single"/>
        </w:rPr>
        <w:t xml:space="preserve">to file </w:t>
      </w:r>
      <w:r w:rsidRPr="00DA227F">
        <w:rPr>
          <w:rFonts w:eastAsia="Calibri"/>
          <w:szCs w:val="22"/>
        </w:rPr>
        <w:t xml:space="preserve">any document </w:t>
      </w:r>
      <w:r w:rsidRPr="00DA227F">
        <w:rPr>
          <w:rFonts w:eastAsia="Calibri"/>
          <w:strike/>
          <w:szCs w:val="22"/>
        </w:rPr>
        <w:t xml:space="preserve">or paper </w:t>
      </w:r>
      <w:r w:rsidRPr="00DA227F">
        <w:rPr>
          <w:rFonts w:eastAsia="Calibri"/>
          <w:szCs w:val="22"/>
        </w:rPr>
        <w:t xml:space="preserve">because of noncompliance with this rule. However, upon request of the clerk of court, noncomplying documents shall be resubmitted in accordance with this rule. </w:t>
      </w:r>
    </w:p>
    <w:p w:rsidR="00DA227F" w:rsidRPr="00DA227F" w:rsidRDefault="00DA227F" w:rsidP="00DA227F">
      <w:pPr>
        <w:spacing w:before="280" w:after="280"/>
        <w:jc w:val="center"/>
        <w:rPr>
          <w:rFonts w:eastAsia="Calibri"/>
          <w:b/>
          <w:szCs w:val="22"/>
        </w:rPr>
      </w:pPr>
      <w:r w:rsidRPr="00DA227F">
        <w:rPr>
          <w:rFonts w:eastAsia="Calibri"/>
          <w:b/>
          <w:szCs w:val="22"/>
        </w:rPr>
        <w:t>Court Commentary</w:t>
      </w:r>
    </w:p>
    <w:p w:rsidR="00DA227F" w:rsidRPr="00DA227F" w:rsidRDefault="00DA227F" w:rsidP="00DA227F">
      <w:pPr>
        <w:spacing w:before="280" w:after="280"/>
        <w:jc w:val="center"/>
        <w:rPr>
          <w:rFonts w:eastAsia="Calibri"/>
          <w:b/>
          <w:szCs w:val="22"/>
        </w:rPr>
      </w:pPr>
      <w:r w:rsidRPr="00DA227F">
        <w:rPr>
          <w:rFonts w:eastAsia="Calibri"/>
          <w:b/>
          <w:szCs w:val="22"/>
        </w:rPr>
        <w:t xml:space="preserve">[No Change] </w:t>
      </w:r>
    </w:p>
    <w:p w:rsidR="00DA227F" w:rsidRPr="00DA227F" w:rsidRDefault="00DA227F" w:rsidP="00DA227F"/>
    <w:p w:rsidR="00DA227F" w:rsidRPr="00DA227F" w:rsidRDefault="00DA227F" w:rsidP="00DA227F">
      <w:pPr>
        <w:spacing w:line="480" w:lineRule="auto"/>
      </w:pPr>
    </w:p>
    <w:sectPr w:rsidR="00DA227F" w:rsidRPr="00DA227F" w:rsidSect="00D82CB1">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pgNumType w:fmt="numberInDash" w:start="1"/>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6905" w:rsidRDefault="00F56905">
      <w:r>
        <w:separator/>
      </w:r>
    </w:p>
  </w:endnote>
  <w:endnote w:type="continuationSeparator" w:id="0">
    <w:p w:rsidR="00F56905" w:rsidRDefault="00F5690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loisterBlack BT">
    <w:altName w:val="English111 Vivace BT"/>
    <w:charset w:val="00"/>
    <w:family w:val="script"/>
    <w:pitch w:val="variable"/>
    <w:sig w:usb0="00000001" w:usb1="00000000" w:usb2="00000000" w:usb3="00000000" w:csb0="0000001B"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6905" w:rsidRDefault="00554F58" w:rsidP="006D0B6C">
    <w:pPr>
      <w:pStyle w:val="Footer"/>
      <w:framePr w:wrap="around" w:vAnchor="text" w:hAnchor="margin" w:xAlign="center" w:y="1"/>
      <w:rPr>
        <w:rStyle w:val="PageNumber"/>
      </w:rPr>
    </w:pPr>
    <w:r>
      <w:rPr>
        <w:rStyle w:val="PageNumber"/>
      </w:rPr>
      <w:fldChar w:fldCharType="begin"/>
    </w:r>
    <w:r w:rsidR="00F56905">
      <w:rPr>
        <w:rStyle w:val="PageNumber"/>
      </w:rPr>
      <w:instrText xml:space="preserve">PAGE  </w:instrText>
    </w:r>
    <w:r>
      <w:rPr>
        <w:rStyle w:val="PageNumber"/>
      </w:rPr>
      <w:fldChar w:fldCharType="end"/>
    </w:r>
  </w:p>
  <w:p w:rsidR="00F56905" w:rsidRDefault="00F5690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6905" w:rsidRDefault="00554F58" w:rsidP="006D0B6C">
    <w:pPr>
      <w:pStyle w:val="Footer"/>
      <w:framePr w:wrap="around" w:vAnchor="text" w:hAnchor="margin" w:xAlign="center" w:y="1"/>
      <w:rPr>
        <w:rStyle w:val="PageNumber"/>
      </w:rPr>
    </w:pPr>
    <w:r>
      <w:rPr>
        <w:rStyle w:val="PageNumber"/>
      </w:rPr>
      <w:fldChar w:fldCharType="begin"/>
    </w:r>
    <w:r w:rsidR="00F56905">
      <w:rPr>
        <w:rStyle w:val="PageNumber"/>
      </w:rPr>
      <w:instrText xml:space="preserve">PAGE  </w:instrText>
    </w:r>
    <w:r>
      <w:rPr>
        <w:rStyle w:val="PageNumber"/>
      </w:rPr>
      <w:fldChar w:fldCharType="separate"/>
    </w:r>
    <w:r w:rsidR="004906CB">
      <w:rPr>
        <w:rStyle w:val="PageNumber"/>
        <w:noProof/>
      </w:rPr>
      <w:t>- 5 -</w:t>
    </w:r>
    <w:r>
      <w:rPr>
        <w:rStyle w:val="PageNumber"/>
      </w:rPr>
      <w:fldChar w:fldCharType="end"/>
    </w:r>
  </w:p>
  <w:p w:rsidR="00F56905" w:rsidRDefault="00F56905">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B42" w:rsidRDefault="00750B4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6905" w:rsidRDefault="00F56905">
      <w:r>
        <w:separator/>
      </w:r>
    </w:p>
  </w:footnote>
  <w:footnote w:type="continuationSeparator" w:id="0">
    <w:p w:rsidR="00F56905" w:rsidRDefault="00F56905">
      <w:r>
        <w:continuationSeparator/>
      </w:r>
    </w:p>
  </w:footnote>
  <w:footnote w:id="1">
    <w:p w:rsidR="00F56905" w:rsidRPr="00921589" w:rsidRDefault="00F56905" w:rsidP="0030161A">
      <w:pPr>
        <w:pStyle w:val="FootnoteText"/>
        <w:spacing w:after="240"/>
        <w:rPr>
          <w:sz w:val="28"/>
        </w:rPr>
      </w:pPr>
      <w:r>
        <w:rPr>
          <w:sz w:val="28"/>
        </w:rPr>
        <w:tab/>
      </w:r>
      <w:r w:rsidRPr="00921589">
        <w:rPr>
          <w:rStyle w:val="FootnoteReference"/>
          <w:sz w:val="28"/>
          <w:vertAlign w:val="baseline"/>
        </w:rPr>
        <w:footnoteRef/>
      </w:r>
      <w:r>
        <w:rPr>
          <w:sz w:val="28"/>
        </w:rPr>
        <w:t xml:space="preserve">.  </w:t>
      </w:r>
      <w:r>
        <w:rPr>
          <w:sz w:val="28"/>
          <w:u w:val="single"/>
        </w:rPr>
        <w:t>S</w:t>
      </w:r>
      <w:r w:rsidRPr="00921589">
        <w:rPr>
          <w:sz w:val="28"/>
          <w:u w:val="single"/>
        </w:rPr>
        <w:t>ee</w:t>
      </w:r>
      <w:r w:rsidRPr="00921589">
        <w:rPr>
          <w:sz w:val="28"/>
        </w:rPr>
        <w:t xml:space="preserve"> art. V, § 2(a), Fla. Const.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B42" w:rsidRDefault="00750B42">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B42" w:rsidRDefault="00750B42">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B42" w:rsidRDefault="00750B42">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stylePaneFormatFilter w:val="3F01"/>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rsids>
    <w:rsidRoot w:val="0030161A"/>
    <w:rsid w:val="00017A07"/>
    <w:rsid w:val="000238B6"/>
    <w:rsid w:val="00032F4D"/>
    <w:rsid w:val="00042E59"/>
    <w:rsid w:val="00042F6F"/>
    <w:rsid w:val="00055DD9"/>
    <w:rsid w:val="000609BF"/>
    <w:rsid w:val="00067593"/>
    <w:rsid w:val="000850AB"/>
    <w:rsid w:val="000948FE"/>
    <w:rsid w:val="000A0036"/>
    <w:rsid w:val="000C3BD2"/>
    <w:rsid w:val="000C46B1"/>
    <w:rsid w:val="000C5895"/>
    <w:rsid w:val="000D5DB2"/>
    <w:rsid w:val="000D7DA7"/>
    <w:rsid w:val="000E278B"/>
    <w:rsid w:val="000E610A"/>
    <w:rsid w:val="000F2898"/>
    <w:rsid w:val="0010260F"/>
    <w:rsid w:val="00104655"/>
    <w:rsid w:val="00107AFC"/>
    <w:rsid w:val="00112D58"/>
    <w:rsid w:val="00113B15"/>
    <w:rsid w:val="00114D65"/>
    <w:rsid w:val="0013313B"/>
    <w:rsid w:val="001352A2"/>
    <w:rsid w:val="00150D8E"/>
    <w:rsid w:val="00167142"/>
    <w:rsid w:val="00186996"/>
    <w:rsid w:val="0019410A"/>
    <w:rsid w:val="001A3C1C"/>
    <w:rsid w:val="001A7DB7"/>
    <w:rsid w:val="001B0BC1"/>
    <w:rsid w:val="001C7D30"/>
    <w:rsid w:val="001F447F"/>
    <w:rsid w:val="001F78F7"/>
    <w:rsid w:val="00214B0B"/>
    <w:rsid w:val="00237481"/>
    <w:rsid w:val="002438E3"/>
    <w:rsid w:val="00251B2B"/>
    <w:rsid w:val="00254CEC"/>
    <w:rsid w:val="00255C3C"/>
    <w:rsid w:val="00257A1B"/>
    <w:rsid w:val="0026247F"/>
    <w:rsid w:val="002628C7"/>
    <w:rsid w:val="00281C1E"/>
    <w:rsid w:val="00295BC4"/>
    <w:rsid w:val="002B1E92"/>
    <w:rsid w:val="002C13D4"/>
    <w:rsid w:val="002C1C9D"/>
    <w:rsid w:val="002D0152"/>
    <w:rsid w:val="002E19BF"/>
    <w:rsid w:val="002E78F9"/>
    <w:rsid w:val="002F45A6"/>
    <w:rsid w:val="002F53EF"/>
    <w:rsid w:val="0030161A"/>
    <w:rsid w:val="00307272"/>
    <w:rsid w:val="003125CD"/>
    <w:rsid w:val="00314D0C"/>
    <w:rsid w:val="003259BD"/>
    <w:rsid w:val="00325B2B"/>
    <w:rsid w:val="00331AD2"/>
    <w:rsid w:val="00336AE1"/>
    <w:rsid w:val="00336D80"/>
    <w:rsid w:val="0035706A"/>
    <w:rsid w:val="00360C36"/>
    <w:rsid w:val="0036257C"/>
    <w:rsid w:val="003665B9"/>
    <w:rsid w:val="00367DA5"/>
    <w:rsid w:val="00370EBB"/>
    <w:rsid w:val="0039213D"/>
    <w:rsid w:val="003963E1"/>
    <w:rsid w:val="003D6850"/>
    <w:rsid w:val="003D753D"/>
    <w:rsid w:val="003E648A"/>
    <w:rsid w:val="003F049E"/>
    <w:rsid w:val="004068C4"/>
    <w:rsid w:val="0041038C"/>
    <w:rsid w:val="00415400"/>
    <w:rsid w:val="004320CA"/>
    <w:rsid w:val="00453D45"/>
    <w:rsid w:val="0046728F"/>
    <w:rsid w:val="004727F2"/>
    <w:rsid w:val="00483040"/>
    <w:rsid w:val="00487EAB"/>
    <w:rsid w:val="004906CB"/>
    <w:rsid w:val="004A1B73"/>
    <w:rsid w:val="004A5750"/>
    <w:rsid w:val="004B4493"/>
    <w:rsid w:val="004C24AE"/>
    <w:rsid w:val="004E180B"/>
    <w:rsid w:val="004F2A8A"/>
    <w:rsid w:val="004F2FAF"/>
    <w:rsid w:val="004F4A92"/>
    <w:rsid w:val="00500B8C"/>
    <w:rsid w:val="005038F7"/>
    <w:rsid w:val="00513E04"/>
    <w:rsid w:val="0051600F"/>
    <w:rsid w:val="00527419"/>
    <w:rsid w:val="00531C1B"/>
    <w:rsid w:val="00554F58"/>
    <w:rsid w:val="0056187E"/>
    <w:rsid w:val="00564C9E"/>
    <w:rsid w:val="00574943"/>
    <w:rsid w:val="00594DE4"/>
    <w:rsid w:val="005A799D"/>
    <w:rsid w:val="005B4489"/>
    <w:rsid w:val="005C10EB"/>
    <w:rsid w:val="005C7B21"/>
    <w:rsid w:val="005E0220"/>
    <w:rsid w:val="005F768C"/>
    <w:rsid w:val="006424F3"/>
    <w:rsid w:val="00656F05"/>
    <w:rsid w:val="00660A69"/>
    <w:rsid w:val="0067632F"/>
    <w:rsid w:val="00682EC4"/>
    <w:rsid w:val="006A2495"/>
    <w:rsid w:val="006A3F34"/>
    <w:rsid w:val="006A55F0"/>
    <w:rsid w:val="006C4465"/>
    <w:rsid w:val="006C7000"/>
    <w:rsid w:val="006D0B6C"/>
    <w:rsid w:val="006E4048"/>
    <w:rsid w:val="006E4DDC"/>
    <w:rsid w:val="00714C5D"/>
    <w:rsid w:val="00714CB3"/>
    <w:rsid w:val="00730BFA"/>
    <w:rsid w:val="00733B5C"/>
    <w:rsid w:val="00742001"/>
    <w:rsid w:val="0074440E"/>
    <w:rsid w:val="00750B42"/>
    <w:rsid w:val="00765801"/>
    <w:rsid w:val="00771F9C"/>
    <w:rsid w:val="007731FF"/>
    <w:rsid w:val="007951EF"/>
    <w:rsid w:val="007A396F"/>
    <w:rsid w:val="007A714A"/>
    <w:rsid w:val="007D310E"/>
    <w:rsid w:val="007E4A76"/>
    <w:rsid w:val="007E6990"/>
    <w:rsid w:val="007F27E1"/>
    <w:rsid w:val="007F34DE"/>
    <w:rsid w:val="007F56AE"/>
    <w:rsid w:val="00803E00"/>
    <w:rsid w:val="00807DEA"/>
    <w:rsid w:val="0081236C"/>
    <w:rsid w:val="00835BB1"/>
    <w:rsid w:val="00845B12"/>
    <w:rsid w:val="00853A53"/>
    <w:rsid w:val="00862C83"/>
    <w:rsid w:val="008761BE"/>
    <w:rsid w:val="00876DBD"/>
    <w:rsid w:val="00877B11"/>
    <w:rsid w:val="00890714"/>
    <w:rsid w:val="008A3F08"/>
    <w:rsid w:val="008A4F91"/>
    <w:rsid w:val="008A6487"/>
    <w:rsid w:val="008C01B8"/>
    <w:rsid w:val="008E5A90"/>
    <w:rsid w:val="008E5B01"/>
    <w:rsid w:val="008F29C5"/>
    <w:rsid w:val="009169FC"/>
    <w:rsid w:val="009206F0"/>
    <w:rsid w:val="009272FC"/>
    <w:rsid w:val="009340D3"/>
    <w:rsid w:val="00953317"/>
    <w:rsid w:val="009619B1"/>
    <w:rsid w:val="009665B3"/>
    <w:rsid w:val="0097700D"/>
    <w:rsid w:val="00991A72"/>
    <w:rsid w:val="009A78C6"/>
    <w:rsid w:val="009B4F22"/>
    <w:rsid w:val="009D6A79"/>
    <w:rsid w:val="009E36BE"/>
    <w:rsid w:val="009F1AAB"/>
    <w:rsid w:val="00A00CFE"/>
    <w:rsid w:val="00A2055C"/>
    <w:rsid w:val="00A30E69"/>
    <w:rsid w:val="00A33714"/>
    <w:rsid w:val="00A5057A"/>
    <w:rsid w:val="00A53D09"/>
    <w:rsid w:val="00A5751D"/>
    <w:rsid w:val="00A57A18"/>
    <w:rsid w:val="00A67994"/>
    <w:rsid w:val="00A753D5"/>
    <w:rsid w:val="00AA688C"/>
    <w:rsid w:val="00AD2A5D"/>
    <w:rsid w:val="00AE0EFA"/>
    <w:rsid w:val="00AF4753"/>
    <w:rsid w:val="00AF62BA"/>
    <w:rsid w:val="00B43A7D"/>
    <w:rsid w:val="00B54F19"/>
    <w:rsid w:val="00B645BE"/>
    <w:rsid w:val="00B9413D"/>
    <w:rsid w:val="00B94FAC"/>
    <w:rsid w:val="00BA0F38"/>
    <w:rsid w:val="00BB10E5"/>
    <w:rsid w:val="00BB7DCF"/>
    <w:rsid w:val="00BC2AA5"/>
    <w:rsid w:val="00BC2C0C"/>
    <w:rsid w:val="00BC4E09"/>
    <w:rsid w:val="00C130C7"/>
    <w:rsid w:val="00C33EDD"/>
    <w:rsid w:val="00C34301"/>
    <w:rsid w:val="00C36303"/>
    <w:rsid w:val="00C46666"/>
    <w:rsid w:val="00C578B1"/>
    <w:rsid w:val="00C6098F"/>
    <w:rsid w:val="00C61508"/>
    <w:rsid w:val="00C63F85"/>
    <w:rsid w:val="00C649D6"/>
    <w:rsid w:val="00C76EDA"/>
    <w:rsid w:val="00C90253"/>
    <w:rsid w:val="00C9787B"/>
    <w:rsid w:val="00CA164E"/>
    <w:rsid w:val="00CD22AC"/>
    <w:rsid w:val="00CE7687"/>
    <w:rsid w:val="00D03C3A"/>
    <w:rsid w:val="00D21BF2"/>
    <w:rsid w:val="00D413F7"/>
    <w:rsid w:val="00D579CC"/>
    <w:rsid w:val="00D57FF7"/>
    <w:rsid w:val="00D64A88"/>
    <w:rsid w:val="00D72832"/>
    <w:rsid w:val="00D825A6"/>
    <w:rsid w:val="00D82CB1"/>
    <w:rsid w:val="00D840E7"/>
    <w:rsid w:val="00DA02C5"/>
    <w:rsid w:val="00DA18FE"/>
    <w:rsid w:val="00DA227F"/>
    <w:rsid w:val="00DB0CBD"/>
    <w:rsid w:val="00DB75AA"/>
    <w:rsid w:val="00DC417A"/>
    <w:rsid w:val="00DD705F"/>
    <w:rsid w:val="00DD7E52"/>
    <w:rsid w:val="00DE1633"/>
    <w:rsid w:val="00DF0A1C"/>
    <w:rsid w:val="00E13D27"/>
    <w:rsid w:val="00E4214F"/>
    <w:rsid w:val="00E527D5"/>
    <w:rsid w:val="00E554D7"/>
    <w:rsid w:val="00E74DFD"/>
    <w:rsid w:val="00E831D1"/>
    <w:rsid w:val="00E8421E"/>
    <w:rsid w:val="00E91E82"/>
    <w:rsid w:val="00EB2605"/>
    <w:rsid w:val="00EB3FB6"/>
    <w:rsid w:val="00EB5903"/>
    <w:rsid w:val="00EE4AE0"/>
    <w:rsid w:val="00EE576A"/>
    <w:rsid w:val="00F05E63"/>
    <w:rsid w:val="00F303F2"/>
    <w:rsid w:val="00F3178D"/>
    <w:rsid w:val="00F40046"/>
    <w:rsid w:val="00F56905"/>
    <w:rsid w:val="00F8101A"/>
    <w:rsid w:val="00F9586A"/>
    <w:rsid w:val="00F97D04"/>
    <w:rsid w:val="00FC5ACF"/>
    <w:rsid w:val="00FC5CEB"/>
    <w:rsid w:val="00FD66ED"/>
    <w:rsid w:val="00FD7330"/>
    <w:rsid w:val="00FF2CE6"/>
    <w:rsid w:val="00FF630C"/>
    <w:rsid w:val="00FF717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C5CEB"/>
    <w:rPr>
      <w:sz w:val="28"/>
      <w:szCs w:val="28"/>
    </w:rPr>
  </w:style>
  <w:style w:type="paragraph" w:styleId="Heading1">
    <w:name w:val="heading 1"/>
    <w:basedOn w:val="Normal"/>
    <w:next w:val="Normal"/>
    <w:qFormat/>
    <w:rsid w:val="00FC5CEB"/>
    <w:pPr>
      <w:spacing w:after="240"/>
      <w:jc w:val="center"/>
      <w:outlineLvl w:val="0"/>
    </w:pPr>
    <w:rPr>
      <w:rFonts w:cs="Arial"/>
      <w:b/>
      <w:bCs/>
      <w:u w:val="single"/>
    </w:rPr>
  </w:style>
  <w:style w:type="paragraph" w:styleId="Heading2">
    <w:name w:val="heading 2"/>
    <w:basedOn w:val="Normal"/>
    <w:next w:val="Normal"/>
    <w:qFormat/>
    <w:rsid w:val="00FC5CEB"/>
    <w:pPr>
      <w:spacing w:after="240"/>
      <w:outlineLvl w:val="1"/>
    </w:pPr>
    <w:rPr>
      <w:rFonts w:cs="Arial"/>
      <w:b/>
      <w:bCs/>
      <w:iCs/>
    </w:rPr>
  </w:style>
  <w:style w:type="paragraph" w:styleId="Heading3">
    <w:name w:val="heading 3"/>
    <w:basedOn w:val="Normal"/>
    <w:next w:val="Normal"/>
    <w:qFormat/>
    <w:rsid w:val="00FC5CEB"/>
    <w:pPr>
      <w:spacing w:after="240"/>
      <w:ind w:firstLine="720"/>
      <w:outlineLvl w:val="2"/>
    </w:pPr>
    <w:rPr>
      <w:rFonts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semiHidden/>
    <w:rsid w:val="00FC5CEB"/>
    <w:pPr>
      <w:tabs>
        <w:tab w:val="center" w:pos="4680"/>
        <w:tab w:val="right" w:pos="9360"/>
      </w:tabs>
    </w:pPr>
  </w:style>
  <w:style w:type="character" w:styleId="PageNumber">
    <w:name w:val="page number"/>
    <w:basedOn w:val="DefaultParagraphFont"/>
    <w:semiHidden/>
    <w:rsid w:val="00FC5CEB"/>
  </w:style>
  <w:style w:type="paragraph" w:customStyle="1" w:styleId="BlockIndent1">
    <w:name w:val="Block Indent 1"/>
    <w:basedOn w:val="Normal"/>
    <w:next w:val="Normal"/>
    <w:rsid w:val="00FC5CEB"/>
    <w:pPr>
      <w:spacing w:after="240"/>
      <w:ind w:left="720" w:right="720"/>
    </w:pPr>
  </w:style>
  <w:style w:type="paragraph" w:customStyle="1" w:styleId="BlockIndent2">
    <w:name w:val="Block Indent 2"/>
    <w:basedOn w:val="Normal"/>
    <w:next w:val="Normal"/>
    <w:rsid w:val="00FC5CEB"/>
    <w:pPr>
      <w:spacing w:after="240"/>
      <w:ind w:left="1440" w:right="1440"/>
    </w:pPr>
  </w:style>
  <w:style w:type="paragraph" w:customStyle="1" w:styleId="BlockIndent3">
    <w:name w:val="Block Indent 3"/>
    <w:basedOn w:val="Normal"/>
    <w:next w:val="Normal"/>
    <w:rsid w:val="00FC5CEB"/>
    <w:pPr>
      <w:spacing w:after="240"/>
      <w:ind w:left="2160" w:right="2160"/>
    </w:pPr>
  </w:style>
  <w:style w:type="character" w:styleId="FootnoteReference">
    <w:name w:val="footnote reference"/>
    <w:basedOn w:val="DefaultParagraphFont"/>
    <w:semiHidden/>
    <w:rsid w:val="00FC5CEB"/>
    <w:rPr>
      <w:vertAlign w:val="superscript"/>
    </w:rPr>
  </w:style>
  <w:style w:type="paragraph" w:styleId="FootnoteText">
    <w:name w:val="footnote text"/>
    <w:basedOn w:val="Normal"/>
    <w:uiPriority w:val="99"/>
    <w:semiHidden/>
    <w:rsid w:val="00FC5CEB"/>
    <w:rPr>
      <w:sz w:val="20"/>
      <w:szCs w:val="20"/>
    </w:rPr>
  </w:style>
  <w:style w:type="paragraph" w:styleId="Header">
    <w:name w:val="header"/>
    <w:basedOn w:val="Normal"/>
    <w:semiHidden/>
    <w:rsid w:val="00FC5CEB"/>
    <w:pPr>
      <w:tabs>
        <w:tab w:val="center" w:pos="4680"/>
        <w:tab w:val="right" w:pos="9360"/>
      </w:tabs>
    </w:pPr>
  </w:style>
  <w:style w:type="paragraph" w:customStyle="1" w:styleId="OASummary1">
    <w:name w:val="OA Summary 1"/>
    <w:basedOn w:val="Normal"/>
    <w:rsid w:val="00FC5CEB"/>
    <w:pPr>
      <w:jc w:val="center"/>
    </w:pPr>
    <w:rPr>
      <w:b/>
      <w:sz w:val="32"/>
      <w:szCs w:val="32"/>
    </w:rPr>
  </w:style>
  <w:style w:type="paragraph" w:customStyle="1" w:styleId="OASummary2">
    <w:name w:val="OA Summary 2"/>
    <w:basedOn w:val="Normal"/>
    <w:link w:val="OASummary2Char"/>
    <w:rsid w:val="00FC5CEB"/>
    <w:rPr>
      <w:b/>
      <w:u w:val="single"/>
    </w:rPr>
  </w:style>
  <w:style w:type="character" w:customStyle="1" w:styleId="OASummary2Char">
    <w:name w:val="OA Summary 2 Char"/>
    <w:basedOn w:val="DefaultParagraphFont"/>
    <w:link w:val="OASummary2"/>
    <w:rsid w:val="00FC5CEB"/>
    <w:rPr>
      <w:b/>
      <w:sz w:val="28"/>
      <w:szCs w:val="28"/>
      <w:u w:val="single"/>
      <w:lang w:val="en-US" w:eastAsia="en-US" w:bidi="ar-SA"/>
    </w:rPr>
  </w:style>
  <w:style w:type="paragraph" w:customStyle="1" w:styleId="OASummary3">
    <w:name w:val="OA Summary 3"/>
    <w:basedOn w:val="Normal"/>
    <w:rsid w:val="00FC5CEB"/>
    <w:pPr>
      <w:jc w:val="center"/>
    </w:pPr>
    <w:rPr>
      <w:b/>
    </w:rPr>
  </w:style>
  <w:style w:type="paragraph" w:customStyle="1" w:styleId="OASummary4">
    <w:name w:val="OA Summary 4"/>
    <w:basedOn w:val="Normal"/>
    <w:rsid w:val="00FC5CEB"/>
    <w:pPr>
      <w:jc w:val="center"/>
    </w:pPr>
    <w:rPr>
      <w:b/>
      <w:u w:val="single"/>
    </w:rPr>
  </w:style>
  <w:style w:type="paragraph" w:styleId="BalloonText">
    <w:name w:val="Balloon Text"/>
    <w:basedOn w:val="Normal"/>
    <w:link w:val="BalloonTextChar"/>
    <w:rsid w:val="00B54F19"/>
    <w:rPr>
      <w:rFonts w:ascii="Segoe UI" w:hAnsi="Segoe UI" w:cs="Segoe UI"/>
      <w:sz w:val="18"/>
      <w:szCs w:val="18"/>
    </w:rPr>
  </w:style>
  <w:style w:type="character" w:customStyle="1" w:styleId="BalloonTextChar">
    <w:name w:val="Balloon Text Char"/>
    <w:basedOn w:val="DefaultParagraphFont"/>
    <w:link w:val="BalloonText"/>
    <w:rsid w:val="00B54F19"/>
    <w:rPr>
      <w:rFonts w:ascii="Segoe UI" w:hAnsi="Segoe UI" w:cs="Segoe UI"/>
      <w:sz w:val="18"/>
      <w:szCs w:val="18"/>
    </w:rPr>
  </w:style>
  <w:style w:type="paragraph" w:customStyle="1" w:styleId="Default">
    <w:name w:val="Default"/>
    <w:rsid w:val="00953317"/>
    <w:pPr>
      <w:autoSpaceDE w:val="0"/>
      <w:autoSpaceDN w:val="0"/>
      <w:adjustRightInd w:val="0"/>
    </w:pPr>
    <w:rPr>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989</Words>
  <Characters>5304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6281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dc:title>
  <dc:creator/>
  <cp:lastModifiedBy/>
  <cp:revision>1</cp:revision>
  <cp:lastPrinted>2014-11-26T15:59:00Z</cp:lastPrinted>
  <dcterms:created xsi:type="dcterms:W3CDTF">2014-12-01T14:10:00Z</dcterms:created>
  <dcterms:modified xsi:type="dcterms:W3CDTF">2014-12-01T14:10:00Z</dcterms:modified>
</cp:coreProperties>
</file>