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3.7.0.0 -->
  <w:body>
    <w:p w:rsidR="00AE22D0">
      <w:pPr>
        <w:ind w:left="540" w:right="360"/>
        <w:jc w:val="center"/>
      </w:pPr>
      <w:bookmarkStart w:id="0" w:name="_GoBack"/>
      <w:bookmarkEnd w:id="0"/>
      <w:r>
        <w:rPr>
          <w:rFonts w:cs="Arial"/>
          <w:lang w:val="en-CA"/>
        </w:rPr>
        <w:fldChar w:fldCharType="begin"/>
      </w:r>
      <w:r>
        <w:rPr>
          <w:rFonts w:cs="Arial"/>
          <w:lang w:val="en-CA"/>
        </w:rPr>
        <w:instrText xml:space="preserve"> SEQ CHAPTER \h \r 1</w:instrText>
      </w:r>
      <w:r>
        <w:rPr>
          <w:rFonts w:cs="Arial"/>
          <w:lang w:val="en-CA"/>
        </w:rPr>
        <w:fldChar w:fldCharType="separate"/>
      </w:r>
      <w:r>
        <w:rPr>
          <w:rFonts w:cs="Arial"/>
          <w:lang w:val="en-CA"/>
        </w:rPr>
        <w:fldChar w:fldCharType="end"/>
      </w:r>
      <w:r>
        <w:t>IN THE DISTRICT COURT OF APPEAL OF THE STATE OF FLORIDA</w:t>
      </w:r>
    </w:p>
    <w:p w:rsidR="00AE22D0" w:rsidP="00AF14AF">
      <w:pPr>
        <w:tabs>
          <w:tab w:val="right" w:pos="8064"/>
        </w:tabs>
        <w:ind w:left="540" w:right="360"/>
        <w:jc w:val="center"/>
      </w:pPr>
      <w:r>
        <w:t>FIFTH DISTRICT</w:t>
      </w:r>
      <w:bookmarkStart w:id="1" w:name="Term"/>
      <w:bookmarkEnd w:id="1"/>
    </w:p>
    <w:p w:rsidR="00AE22D0"/>
    <w:p w:rsidR="00803A67" w:rsidP="00803A67">
      <w:r>
        <w:t xml:space="preserve">                                                             </w:t>
      </w:r>
      <w:r>
        <w:tab/>
      </w:r>
      <w:r>
        <w:tab/>
        <w:t xml:space="preserve"> NOT FINAL UNTIL TIME EXPIRES TO</w:t>
      </w:r>
    </w:p>
    <w:p w:rsidR="00803A67" w:rsidP="00803A67">
      <w:r>
        <w:t xml:space="preserve">                                                                             FILE MOTION FOR REHEARING AND</w:t>
      </w:r>
    </w:p>
    <w:p w:rsidR="00803A67" w:rsidP="00803A67">
      <w:pPr>
        <w:ind w:right="-360"/>
      </w:pPr>
      <w:r>
        <w:t xml:space="preserve">                                                                             DISPOSITION THEREOF IF FILED</w:t>
      </w:r>
    </w:p>
    <w:p w:rsidR="00AE22D0">
      <w:pPr>
        <w:ind w:right="-360"/>
      </w:pPr>
      <w:r>
        <w:tab/>
      </w:r>
    </w:p>
    <w:p w:rsidR="00AE22D0">
      <w:bookmarkStart w:id="2" w:name="Appellant"/>
      <w:r>
        <w:fldChar w:fldCharType="begin">
          <w:ffData>
            <w:name w:val="Appellant"/>
            <w:enabled/>
            <w:calcOnExit w:val="0"/>
            <w:textInput/>
          </w:ffData>
        </w:fldChar>
      </w:r>
      <w:r>
        <w:instrText xml:space="preserve"> FORMTEXT </w:instrText>
      </w:r>
      <w:r>
        <w:fldChar w:fldCharType="separate"/>
      </w:r>
      <w:r w:rsidR="00EB7EBD">
        <w:t>LYLE BENNETT</w:t>
      </w:r>
      <w:r>
        <w:fldChar w:fldCharType="end"/>
      </w:r>
      <w:bookmarkEnd w:id="2"/>
      <w:r>
        <w:t>,</w:t>
      </w:r>
    </w:p>
    <w:p w:rsidR="00AE22D0"/>
    <w:p w:rsidR="00AE22D0">
      <w:r>
        <w:tab/>
      </w:r>
      <w:bookmarkStart w:id="3" w:name="Type_apl_pet"/>
      <w:r w:rsidR="00EE1F4C">
        <w:tab/>
      </w:r>
      <w:r w:rsidRPr="003B1541">
        <w:fldChar w:fldCharType="begin">
          <w:ffData>
            <w:name w:val="Type_apl_pet"/>
            <w:enabled/>
            <w:calcOnExit w:val="0"/>
            <w:textInput/>
          </w:ffData>
        </w:fldChar>
      </w:r>
      <w:r w:rsidRPr="003B1541">
        <w:instrText xml:space="preserve"> FORMTEXT </w:instrText>
      </w:r>
      <w:r w:rsidRPr="003B1541">
        <w:fldChar w:fldCharType="separate"/>
      </w:r>
      <w:r w:rsidR="00EB7EBD">
        <w:t>Petitioner</w:t>
      </w:r>
      <w:r w:rsidRPr="003B1541">
        <w:fldChar w:fldCharType="end"/>
      </w:r>
      <w:bookmarkEnd w:id="3"/>
      <w:r>
        <w:t>,</w:t>
      </w:r>
    </w:p>
    <w:p w:rsidR="00AE22D0"/>
    <w:tbl>
      <w:tblPr>
        <w:tblW w:w="0" w:type="auto"/>
        <w:tblCellMar>
          <w:left w:w="115" w:type="dxa"/>
          <w:right w:w="144" w:type="dxa"/>
        </w:tblCellMar>
        <w:tblLook w:val="01E0"/>
      </w:tblPr>
      <w:tblGrid>
        <w:gridCol w:w="5732"/>
        <w:gridCol w:w="3628"/>
      </w:tblGrid>
      <w:tr w:rsidTr="00AE22D0">
        <w:tblPrEx>
          <w:tblW w:w="0" w:type="auto"/>
          <w:tblCellMar>
            <w:left w:w="115" w:type="dxa"/>
            <w:right w:w="144" w:type="dxa"/>
          </w:tblCellMar>
          <w:tblLook w:val="01E0"/>
        </w:tblPrEx>
        <w:tc>
          <w:tcPr>
            <w:tcW w:w="5875" w:type="dxa"/>
          </w:tcPr>
          <w:p w:rsidR="00AE22D0" w:rsidP="00AE22D0">
            <w:pPr>
              <w:autoSpaceDE w:val="0"/>
              <w:autoSpaceDN w:val="0"/>
              <w:adjustRightInd w:val="0"/>
            </w:pPr>
            <w:r>
              <w:t>v.</w:t>
            </w:r>
          </w:p>
        </w:tc>
        <w:tc>
          <w:tcPr>
            <w:tcW w:w="3701" w:type="dxa"/>
          </w:tcPr>
          <w:p w:rsidR="00AE22D0" w:rsidP="00AE22D0">
            <w:pPr>
              <w:autoSpaceDE w:val="0"/>
              <w:autoSpaceDN w:val="0"/>
              <w:adjustRightInd w:val="0"/>
              <w:ind w:right="-360"/>
            </w:pPr>
            <w:r>
              <w:t>Case No.  5D</w:t>
            </w:r>
            <w:bookmarkStart w:id="4" w:name="Case_numb"/>
            <w:r>
              <w:fldChar w:fldCharType="begin">
                <w:ffData>
                  <w:name w:val="Case_numb"/>
                  <w:enabled/>
                  <w:calcOnExit w:val="0"/>
                  <w:textInput/>
                </w:ffData>
              </w:fldChar>
            </w:r>
            <w:r>
              <w:instrText xml:space="preserve"> FORMTEXT </w:instrText>
            </w:r>
            <w:r>
              <w:fldChar w:fldCharType="separate"/>
            </w:r>
            <w:r w:rsidR="00EB7EBD">
              <w:t>14-2875</w:t>
            </w:r>
            <w:r>
              <w:fldChar w:fldCharType="end"/>
            </w:r>
            <w:bookmarkEnd w:id="4"/>
          </w:p>
        </w:tc>
      </w:tr>
    </w:tbl>
    <w:p w:rsidR="00AE22D0"/>
    <w:p w:rsidR="009E6B96">
      <w:r>
        <w:fldChar w:fldCharType="begin">
          <w:ffData>
            <w:name w:val="Appellee"/>
            <w:enabled/>
            <w:calcOnExit w:val="0"/>
            <w:textInput/>
          </w:ffData>
        </w:fldChar>
      </w:r>
      <w:r>
        <w:instrText xml:space="preserve"> FORMTEXT </w:instrText>
      </w:r>
      <w:r>
        <w:fldChar w:fldCharType="separate"/>
      </w:r>
      <w:r w:rsidR="00EB7EBD">
        <w:t>CLERK OF CIRCUIT COURT</w:t>
      </w:r>
    </w:p>
    <w:p w:rsidR="00AE22D0">
      <w:r>
        <w:t xml:space="preserve">CITRUS COUNTY, </w:t>
      </w:r>
      <w:r w:rsidR="00AF14AF">
        <w:t>FLORIDA</w:t>
      </w:r>
      <w:r>
        <w:fldChar w:fldCharType="end"/>
      </w:r>
      <w:r>
        <w:t>,</w:t>
      </w:r>
    </w:p>
    <w:p w:rsidR="00AE22D0"/>
    <w:p w:rsidR="00AE22D0">
      <w:r>
        <w:tab/>
      </w:r>
      <w:bookmarkStart w:id="5" w:name="Type_aplee_resp"/>
      <w:r w:rsidR="00EE1F4C">
        <w:tab/>
      </w:r>
      <w:r w:rsidRPr="003B1541">
        <w:fldChar w:fldCharType="begin">
          <w:ffData>
            <w:name w:val="Type_aplee_resp"/>
            <w:enabled/>
            <w:calcOnExit w:val="0"/>
            <w:textInput/>
          </w:ffData>
        </w:fldChar>
      </w:r>
      <w:r w:rsidRPr="003B1541">
        <w:instrText xml:space="preserve"> FORMTEXT </w:instrText>
      </w:r>
      <w:r w:rsidRPr="003B1541">
        <w:fldChar w:fldCharType="separate"/>
      </w:r>
      <w:r w:rsidR="00EB7EBD">
        <w:t>Respondent</w:t>
      </w:r>
      <w:r w:rsidRPr="003B1541">
        <w:fldChar w:fldCharType="end"/>
      </w:r>
      <w:bookmarkEnd w:id="5"/>
      <w:r>
        <w:t>.</w:t>
      </w:r>
    </w:p>
    <w:p w:rsidR="00AE22D0"/>
    <w:p w:rsidR="00AE22D0">
      <w:r>
        <w:t>________________________________/</w:t>
      </w:r>
    </w:p>
    <w:p w:rsidR="00AE22D0"/>
    <w:p w:rsidR="00AE22D0">
      <w:r>
        <w:t>Opinion filed</w:t>
      </w:r>
      <w:r w:rsidR="0082131C">
        <w:t xml:space="preserve"> November 7, 2014</w:t>
      </w:r>
    </w:p>
    <w:p w:rsidR="00AE22D0"/>
    <w:tbl>
      <w:tblPr>
        <w:tblW w:w="0" w:type="auto"/>
        <w:tblCellMar>
          <w:left w:w="115" w:type="dxa"/>
          <w:right w:w="144" w:type="dxa"/>
        </w:tblCellMar>
        <w:tblLook w:val="01E0"/>
      </w:tblPr>
      <w:tblGrid>
        <w:gridCol w:w="4696"/>
        <w:gridCol w:w="3328"/>
        <w:gridCol w:w="1329"/>
        <w:gridCol w:w="7"/>
      </w:tblGrid>
      <w:tr w:rsidTr="00AE22D0">
        <w:tblPrEx>
          <w:tblW w:w="0" w:type="auto"/>
          <w:tblCellMar>
            <w:left w:w="115" w:type="dxa"/>
            <w:right w:w="144" w:type="dxa"/>
          </w:tblCellMar>
          <w:tblLook w:val="01E0"/>
        </w:tblPrEx>
        <w:trPr>
          <w:gridAfter w:val="1"/>
          <w:wAfter w:w="7" w:type="dxa"/>
        </w:trPr>
        <w:tc>
          <w:tcPr>
            <w:tcW w:w="8215" w:type="dxa"/>
            <w:gridSpan w:val="2"/>
          </w:tcPr>
          <w:p w:rsidR="00AE22D0" w:rsidP="00AE22D0">
            <w:pPr>
              <w:autoSpaceDE w:val="0"/>
              <w:autoSpaceDN w:val="0"/>
              <w:adjustRightInd w:val="0"/>
              <w:jc w:val="left"/>
            </w:pPr>
            <w:bookmarkStart w:id="6" w:name="Case_type"/>
            <w:r>
              <w:fldChar w:fldCharType="begin">
                <w:ffData>
                  <w:name w:val="Case_type"/>
                  <w:enabled/>
                  <w:calcOnExit w:val="0"/>
                  <w:textInput/>
                </w:ffData>
              </w:fldChar>
            </w:r>
            <w:r>
              <w:instrText xml:space="preserve"> FORMTEXT </w:instrText>
            </w:r>
            <w:r>
              <w:fldChar w:fldCharType="separate"/>
            </w:r>
            <w:r w:rsidR="00EB7EBD">
              <w:t>Petition for Writ of Mandamus,</w:t>
            </w:r>
            <w:r>
              <w:fldChar w:fldCharType="end"/>
            </w:r>
            <w:bookmarkEnd w:id="6"/>
          </w:p>
          <w:p w:rsidR="00AE22D0" w:rsidP="00AE22D0">
            <w:pPr>
              <w:autoSpaceDE w:val="0"/>
              <w:autoSpaceDN w:val="0"/>
              <w:adjustRightInd w:val="0"/>
              <w:ind w:right="-360"/>
              <w:jc w:val="left"/>
            </w:pPr>
            <w:bookmarkStart w:id="7" w:name="Case_type2"/>
            <w:r>
              <w:t>Richard A. Howard</w:t>
            </w:r>
            <w:r>
              <w:fldChar w:fldCharType="begin">
                <w:ffData>
                  <w:name w:val="Case_type2"/>
                  <w:enabled/>
                  <w:calcOnExit w:val="0"/>
                  <w:textInput/>
                </w:ffData>
              </w:fldChar>
            </w:r>
            <w:r>
              <w:instrText xml:space="preserve"> FORMTEXT </w:instrText>
            </w:r>
            <w:r>
              <w:fldChar w:fldCharType="separate"/>
            </w:r>
            <w:r w:rsidR="00EB7EBD">
              <w:t>, Respondent Judge.</w:t>
            </w:r>
            <w:r>
              <w:fldChar w:fldCharType="end"/>
            </w:r>
            <w:bookmarkEnd w:id="7"/>
          </w:p>
        </w:tc>
        <w:tc>
          <w:tcPr>
            <w:tcW w:w="1361" w:type="dxa"/>
          </w:tcPr>
          <w:p w:rsidR="00AE22D0" w:rsidP="00AE22D0">
            <w:pPr>
              <w:autoSpaceDE w:val="0"/>
              <w:autoSpaceDN w:val="0"/>
              <w:adjustRightInd w:val="0"/>
              <w:ind w:right="-360"/>
            </w:pPr>
          </w:p>
        </w:tc>
      </w:tr>
      <w:tr w:rsidTr="00AE22D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4788" w:type="dxa"/>
            <w:tcBorders>
              <w:top w:val="nil"/>
              <w:left w:val="nil"/>
              <w:bottom w:val="nil"/>
              <w:right w:val="nil"/>
            </w:tcBorders>
          </w:tcPr>
          <w:p w:rsidR="00AE22D0" w:rsidP="00AE22D0">
            <w:pPr>
              <w:autoSpaceDE w:val="0"/>
              <w:autoSpaceDN w:val="0"/>
              <w:adjustRightInd w:val="0"/>
              <w:jc w:val="left"/>
            </w:pPr>
          </w:p>
          <w:p w:rsidR="00AE22D0" w:rsidP="00AE22D0">
            <w:pPr>
              <w:autoSpaceDE w:val="0"/>
              <w:autoSpaceDN w:val="0"/>
              <w:adjustRightInd w:val="0"/>
              <w:jc w:val="left"/>
            </w:pPr>
            <w:r>
              <w:t>Lyle Bennett, Perry, pro se</w:t>
            </w:r>
            <w:r>
              <w:t>.</w:t>
            </w:r>
          </w:p>
          <w:p w:rsidR="00AE22D0" w:rsidP="00AE22D0">
            <w:pPr>
              <w:autoSpaceDE w:val="0"/>
              <w:autoSpaceDN w:val="0"/>
              <w:adjustRightInd w:val="0"/>
            </w:pPr>
          </w:p>
        </w:tc>
        <w:tc>
          <w:tcPr>
            <w:tcW w:w="4788" w:type="dxa"/>
            <w:gridSpan w:val="3"/>
            <w:tcBorders>
              <w:top w:val="nil"/>
              <w:left w:val="nil"/>
              <w:bottom w:val="nil"/>
              <w:right w:val="nil"/>
            </w:tcBorders>
          </w:tcPr>
          <w:p w:rsidR="00AE22D0" w:rsidP="00AE22D0">
            <w:pPr>
              <w:autoSpaceDE w:val="0"/>
              <w:autoSpaceDN w:val="0"/>
              <w:adjustRightInd w:val="0"/>
            </w:pPr>
          </w:p>
        </w:tc>
      </w:tr>
      <w:tr w:rsidTr="00AE22D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4788" w:type="dxa"/>
            <w:tcBorders>
              <w:top w:val="nil"/>
              <w:left w:val="nil"/>
              <w:bottom w:val="nil"/>
              <w:right w:val="nil"/>
            </w:tcBorders>
          </w:tcPr>
          <w:p w:rsidR="00AE22D0" w:rsidP="00AE22D0">
            <w:pPr>
              <w:autoSpaceDE w:val="0"/>
              <w:autoSpaceDN w:val="0"/>
              <w:adjustRightInd w:val="0"/>
              <w:jc w:val="left"/>
            </w:pPr>
            <w:r>
              <w:t>No appearance</w:t>
            </w:r>
            <w:r>
              <w:t xml:space="preserve"> for Respondent.</w:t>
            </w:r>
          </w:p>
          <w:p w:rsidR="00AE22D0" w:rsidP="00AE22D0">
            <w:pPr>
              <w:autoSpaceDE w:val="0"/>
              <w:autoSpaceDN w:val="0"/>
              <w:adjustRightInd w:val="0"/>
            </w:pPr>
          </w:p>
        </w:tc>
        <w:tc>
          <w:tcPr>
            <w:tcW w:w="4788" w:type="dxa"/>
            <w:gridSpan w:val="3"/>
            <w:tcBorders>
              <w:top w:val="nil"/>
              <w:left w:val="nil"/>
              <w:bottom w:val="nil"/>
              <w:right w:val="nil"/>
            </w:tcBorders>
          </w:tcPr>
          <w:p w:rsidR="00AE22D0" w:rsidP="00AE22D0">
            <w:pPr>
              <w:autoSpaceDE w:val="0"/>
              <w:autoSpaceDN w:val="0"/>
              <w:adjustRightInd w:val="0"/>
            </w:pPr>
          </w:p>
        </w:tc>
      </w:tr>
    </w:tbl>
    <w:p w:rsidR="00AE22D0"/>
    <w:p w:rsidR="00EB7EBD">
      <w:r>
        <w:t>PER CURIAM.</w:t>
      </w:r>
    </w:p>
    <w:p w:rsidR="0039533D"/>
    <w:p w:rsidR="00AF14AF" w:rsidP="00EB7EBD">
      <w:pPr>
        <w:pStyle w:val="DoubleSpace"/>
      </w:pPr>
      <w:r>
        <w:tab/>
        <w:t>Petitioner, Lyle Bennett, seeks a writ of mandamus to compel the Citrus County Clerk of Court to provide free copies of his 1) plea agreement</w:t>
      </w:r>
      <w:r w:rsidR="0082131C">
        <w:t xml:space="preserve">, 2) sentencing transcript, </w:t>
      </w:r>
      <w:r>
        <w:t>3) guideline scoresheet</w:t>
      </w:r>
      <w:r w:rsidR="0082131C">
        <w:t>,</w:t>
      </w:r>
      <w:r>
        <w:t xml:space="preserve"> and 4) </w:t>
      </w:r>
      <w:r w:rsidR="001F2808">
        <w:t>“</w:t>
      </w:r>
      <w:r>
        <w:t>sworn Direct Information filed, etc.</w:t>
      </w:r>
      <w:r w:rsidR="001F2808">
        <w:t>”</w:t>
      </w:r>
      <w:r>
        <w:t xml:space="preserve"> in his Citrus County </w:t>
      </w:r>
      <w:r>
        <w:t>felony</w:t>
      </w:r>
      <w:r>
        <w:t xml:space="preserve"> </w:t>
      </w:r>
      <w:r w:rsidR="0082131C">
        <w:t>C</w:t>
      </w:r>
      <w:r>
        <w:t xml:space="preserve">ase </w:t>
      </w:r>
      <w:r w:rsidR="00C15A81">
        <w:t>N</w:t>
      </w:r>
      <w:r>
        <w:t xml:space="preserve">o. 2013-CF-341-A.  </w:t>
      </w:r>
      <w:r>
        <w:t>Bennett</w:t>
      </w:r>
      <w:r>
        <w:t xml:space="preserve"> states that the Citrus County Clerk is demanding $1 per page</w:t>
      </w:r>
      <w:r>
        <w:t xml:space="preserve"> for the records sought and that </w:t>
      </w:r>
      <w:r>
        <w:t>he is indigent and trying to draft a motion for postconviction relief.  The</w:t>
      </w:r>
      <w:r>
        <w:t xml:space="preserve"> p</w:t>
      </w:r>
      <w:r>
        <w:t xml:space="preserve">etition does not include an appendix or a copy of </w:t>
      </w:r>
      <w:r w:rsidR="00C15A81">
        <w:t xml:space="preserve">the </w:t>
      </w:r>
      <w:r>
        <w:t xml:space="preserve">alleged response </w:t>
      </w:r>
      <w:r w:rsidR="001A5338">
        <w:t xml:space="preserve">that </w:t>
      </w:r>
      <w:r>
        <w:t xml:space="preserve">he received from the Citrus County Clerk's Office.  He also does </w:t>
      </w:r>
      <w:r>
        <w:t>not state whether his request for copies was a chapter</w:t>
      </w:r>
      <w:r w:rsidR="00C15A81">
        <w:t xml:space="preserve"> </w:t>
      </w:r>
      <w:r>
        <w:t>119 request or was simply correspondence</w:t>
      </w:r>
      <w:r>
        <w:t xml:space="preserve"> to the Clerk</w:t>
      </w:r>
      <w:r>
        <w:t xml:space="preserve">.  </w:t>
      </w:r>
    </w:p>
    <w:p w:rsidR="00EB7EBD" w:rsidP="00EB7EBD">
      <w:pPr>
        <w:pStyle w:val="DoubleSpace"/>
      </w:pPr>
      <w:r>
        <w:tab/>
        <w:t>Bennett relies on</w:t>
      </w:r>
      <w:r w:rsidRPr="009B0921">
        <w:rPr>
          <w:rFonts w:cs="Arial"/>
        </w:rPr>
        <w:t xml:space="preserve"> </w:t>
      </w:r>
      <w:r w:rsidRPr="00EB7EBD">
        <w:rPr>
          <w:rFonts w:cs="Arial"/>
          <w:u w:val="single"/>
        </w:rPr>
        <w:t>Lewis v. State</w:t>
      </w:r>
      <w:r w:rsidRPr="009B0921">
        <w:rPr>
          <w:rFonts w:cs="Arial"/>
        </w:rPr>
        <w:t>, 142 So. 3d 879 (Fla. 1st DCA 2014)</w:t>
      </w:r>
      <w:r>
        <w:rPr>
          <w:rFonts w:cs="Arial"/>
        </w:rPr>
        <w:t xml:space="preserve">, which held that </w:t>
      </w:r>
      <w:r w:rsidRPr="009B0921">
        <w:rPr>
          <w:rFonts w:cs="Arial"/>
          <w:color w:val="000000"/>
        </w:rPr>
        <w:t>an indigent</w:t>
      </w:r>
      <w:r>
        <w:rPr>
          <w:rFonts w:cs="Arial"/>
          <w:color w:val="000000"/>
        </w:rPr>
        <w:t xml:space="preserve"> criminal</w:t>
      </w:r>
      <w:r w:rsidRPr="009B0921">
        <w:rPr>
          <w:rFonts w:cs="Arial"/>
          <w:color w:val="000000"/>
        </w:rPr>
        <w:t xml:space="preserve"> defendant </w:t>
      </w:r>
      <w:r w:rsidR="001A5338">
        <w:rPr>
          <w:rFonts w:cs="Arial"/>
          <w:color w:val="000000"/>
        </w:rPr>
        <w:t>“</w:t>
      </w:r>
      <w:r w:rsidRPr="009B0921">
        <w:rPr>
          <w:rFonts w:cs="Arial"/>
          <w:color w:val="000000"/>
        </w:rPr>
        <w:t xml:space="preserve">is entitled to his or her own copy of the record in proceedings in which he or she is proceeding pro se, such as in </w:t>
      </w:r>
      <w:r w:rsidRPr="00EB7EBD">
        <w:rPr>
          <w:rFonts w:cs="Arial"/>
          <w:iCs/>
          <w:color w:val="000000"/>
          <w:u w:val="single"/>
        </w:rPr>
        <w:t>Anders</w:t>
      </w:r>
      <w:r>
        <w:rPr>
          <w:rStyle w:val="FootnoteReference"/>
          <w:rFonts w:cs="Arial"/>
          <w:iCs/>
          <w:color w:val="000000"/>
        </w:rPr>
        <w:footnoteReference w:id="2"/>
      </w:r>
      <w:r w:rsidRPr="009B0921">
        <w:rPr>
          <w:rFonts w:cs="Arial"/>
          <w:color w:val="000000"/>
        </w:rPr>
        <w:t xml:space="preserve"> appeals, and, at the conclusion of representation, is entitled to the record in the possession of trial counsel that was prepared at public expense</w:t>
      </w:r>
      <w:r>
        <w:rPr>
          <w:rFonts w:cs="Arial"/>
        </w:rPr>
        <w:t>.</w:t>
      </w:r>
      <w:r w:rsidR="001A5338">
        <w:rPr>
          <w:rFonts w:cs="Arial"/>
        </w:rPr>
        <w:t xml:space="preserve">”  142 So. 3d at 880 (internal citations omitted). </w:t>
      </w:r>
      <w:r>
        <w:rPr>
          <w:rFonts w:cs="Arial"/>
        </w:rPr>
        <w:t xml:space="preserve">  </w:t>
      </w:r>
      <w:r w:rsidRPr="009B0921">
        <w:rPr>
          <w:u w:val="single"/>
        </w:rPr>
        <w:t>Lewis</w:t>
      </w:r>
      <w:r>
        <w:t xml:space="preserve"> does not support </w:t>
      </w:r>
      <w:r>
        <w:t>Bennett</w:t>
      </w:r>
      <w:r>
        <w:t xml:space="preserve">'s claim.  </w:t>
      </w:r>
      <w:r w:rsidRPr="00A279AC">
        <w:rPr>
          <w:u w:val="single"/>
        </w:rPr>
        <w:t>Lewis</w:t>
      </w:r>
      <w:r>
        <w:t xml:space="preserve"> simply provides that a copy </w:t>
      </w:r>
      <w:r w:rsidR="00116CE0">
        <w:t>of the recor</w:t>
      </w:r>
      <w:r>
        <w:t xml:space="preserve">d shall be provided by the Clerk to indigent </w:t>
      </w:r>
      <w:r w:rsidR="001A5338">
        <w:t xml:space="preserve">defendants in criminal matters.  </w:t>
      </w:r>
      <w:r w:rsidR="001A5338">
        <w:rPr>
          <w:u w:val="single"/>
        </w:rPr>
        <w:t>Id.</w:t>
      </w:r>
      <w:r w:rsidR="001F2808">
        <w:t xml:space="preserve"> </w:t>
      </w:r>
      <w:r>
        <w:t xml:space="preserve"> It d</w:t>
      </w:r>
      <w:r>
        <w:t>id</w:t>
      </w:r>
      <w:r>
        <w:t xml:space="preserve"> not extend the right to </w:t>
      </w:r>
      <w:r w:rsidRPr="000866EB">
        <w:t>free</w:t>
      </w:r>
      <w:r>
        <w:t xml:space="preserve"> copies to indigents beyond the direct appeal of judgment and sentence and transcripts of evidentiary hearings held on postconviction claims.  </w:t>
      </w:r>
      <w:r w:rsidRPr="00A279AC">
        <w:rPr>
          <w:u w:val="single"/>
        </w:rPr>
        <w:t>See</w:t>
      </w:r>
      <w:r w:rsidRPr="001A5338">
        <w:t xml:space="preserve"> </w:t>
      </w:r>
      <w:r>
        <w:t>Fla. R. App. P. 9.141(b)(3).</w:t>
      </w:r>
      <w:r>
        <w:rPr>
          <w:rStyle w:val="FootnoteReference"/>
        </w:rPr>
        <w:footnoteReference w:id="3"/>
      </w:r>
      <w:r>
        <w:t xml:space="preserve">  </w:t>
      </w:r>
      <w:r>
        <w:t>Bennett</w:t>
      </w:r>
      <w:r>
        <w:t xml:space="preserve"> does not assert that the </w:t>
      </w:r>
      <w:r>
        <w:t>C</w:t>
      </w:r>
      <w:r>
        <w:t>lerk has refused to provide him copies, only that she requires a $1 fee per page.</w:t>
      </w:r>
    </w:p>
    <w:p w:rsidR="00EB7EBD" w:rsidRPr="00833FCE" w:rsidP="000866EB">
      <w:pPr>
        <w:pStyle w:val="DoubleSpace"/>
      </w:pPr>
      <w:r>
        <w:tab/>
      </w:r>
      <w:r w:rsidR="001F2808">
        <w:t>“</w:t>
      </w:r>
      <w:r w:rsidRPr="00833FCE">
        <w:t>Mandamus is a common law remedy used to enforce an established legal right by compelling a person in an official capacity to perform an indisputable ministerial duty required by law.</w:t>
      </w:r>
      <w:r w:rsidR="001F2808">
        <w:t>”</w:t>
      </w:r>
      <w:r w:rsidRPr="00833FCE">
        <w:t xml:space="preserve"> </w:t>
      </w:r>
      <w:r w:rsidR="001F2808">
        <w:t xml:space="preserve"> </w:t>
      </w:r>
      <w:r w:rsidRPr="00EB7EBD">
        <w:rPr>
          <w:u w:val="single"/>
        </w:rPr>
        <w:t>Poole v. City of Port Orange</w:t>
      </w:r>
      <w:r w:rsidRPr="00833FCE">
        <w:t>, 33 So. 3d 739, 741 (Fla. 5th DCA 2010)</w:t>
      </w:r>
      <w:r w:rsidR="001A5338">
        <w:t xml:space="preserve"> (citing </w:t>
      </w:r>
      <w:r w:rsidRPr="009E6B96" w:rsidR="001A5338">
        <w:rPr>
          <w:u w:val="single"/>
        </w:rPr>
        <w:t>Puckett v. Gentry</w:t>
      </w:r>
      <w:r w:rsidR="001A5338">
        <w:t>, 577 So. 2d 965, 967 (Fla. 5th DCA 1991))</w:t>
      </w:r>
      <w:r w:rsidRPr="00833FCE">
        <w:t xml:space="preserve">. </w:t>
      </w:r>
      <w:r w:rsidR="001F2808">
        <w:t xml:space="preserve"> “</w:t>
      </w:r>
      <w:r>
        <w:t>A</w:t>
      </w:r>
      <w:r w:rsidRPr="00833FCE">
        <w:t xml:space="preserve"> duty or act is ministerial when there is no room for the exercise of discretion, and the performance being required is directed by law.</w:t>
      </w:r>
      <w:r w:rsidR="001F2808">
        <w:t xml:space="preserve">” </w:t>
      </w:r>
      <w:r w:rsidRPr="00833FCE">
        <w:t xml:space="preserve"> </w:t>
      </w:r>
      <w:r w:rsidRPr="00EB7EBD">
        <w:rPr>
          <w:u w:val="single"/>
        </w:rPr>
        <w:t>Austin v. Crosby</w:t>
      </w:r>
      <w:r w:rsidRPr="00833FCE">
        <w:t xml:space="preserve">, 866 So. 2d 742, 744 (Fla. 5th DCA 2004). </w:t>
      </w:r>
      <w:r w:rsidR="001F2808">
        <w:t xml:space="preserve"> </w:t>
      </w:r>
      <w:r w:rsidRPr="00833FCE">
        <w:t xml:space="preserve">The petitioner must show a clear legal right to the relief requested and </w:t>
      </w:r>
      <w:r w:rsidR="001F2808">
        <w:t>“</w:t>
      </w:r>
      <w:r w:rsidRPr="00833FCE">
        <w:t xml:space="preserve">an </w:t>
      </w:r>
      <w:r w:rsidRPr="00833FCE">
        <w:t>indisputable legal dut</w:t>
      </w:r>
      <w:r w:rsidR="001F2808">
        <w:t>y on the part of the respondent”</w:t>
      </w:r>
      <w:r w:rsidRPr="00833FCE">
        <w:t xml:space="preserve"> to act.</w:t>
      </w:r>
      <w:r w:rsidR="001F2808">
        <w:t xml:space="preserve"> </w:t>
      </w:r>
      <w:r w:rsidRPr="00833FCE">
        <w:t xml:space="preserve"> </w:t>
      </w:r>
      <w:r w:rsidRPr="00833FCE">
        <w:rPr>
          <w:u w:val="single"/>
        </w:rPr>
        <w:t>See</w:t>
      </w:r>
      <w:r w:rsidRPr="00833FCE">
        <w:t xml:space="preserve"> </w:t>
      </w:r>
      <w:r w:rsidRPr="00EB7EBD">
        <w:rPr>
          <w:u w:val="single"/>
        </w:rPr>
        <w:t>Bernard v. State</w:t>
      </w:r>
      <w:r w:rsidRPr="00833FCE">
        <w:t xml:space="preserve">, 911 So. 2d 1259, 1260 (Fla. 5th DCA 2005). </w:t>
      </w:r>
    </w:p>
    <w:p w:rsidR="00EB7EBD" w:rsidP="000866EB">
      <w:pPr>
        <w:pStyle w:val="DoubleSpace"/>
      </w:pPr>
      <w:r>
        <w:tab/>
      </w:r>
      <w:r w:rsidR="00AF14AF">
        <w:t xml:space="preserve">Finally, </w:t>
      </w:r>
      <w:r w:rsidR="001F2808">
        <w:t>“</w:t>
      </w:r>
      <w:r w:rsidR="00AF14AF">
        <w:t>[a]</w:t>
      </w:r>
      <w:r w:rsidRPr="00963E00">
        <w:t xml:space="preserve"> litigant who seeks action from the trial court clerk to provide documents or accept filings cannot start with mandamus at the appellate court. </w:t>
      </w:r>
      <w:r w:rsidR="001F2808">
        <w:t xml:space="preserve"> </w:t>
      </w:r>
      <w:r w:rsidRPr="00963E00">
        <w:t>He must seek relief in the trial court first.</w:t>
      </w:r>
      <w:r w:rsidR="001F2808">
        <w:t xml:space="preserve"> </w:t>
      </w:r>
      <w:r w:rsidRPr="00963E00">
        <w:t xml:space="preserve"> It is the trial court that has jurisdiction over such matters.</w:t>
      </w:r>
      <w:r w:rsidR="001F2808">
        <w:t>”</w:t>
      </w:r>
      <w:r w:rsidRPr="00963E00">
        <w:t xml:space="preserve"> </w:t>
      </w:r>
      <w:r w:rsidR="001F2808">
        <w:t xml:space="preserve"> </w:t>
      </w:r>
      <w:r w:rsidRPr="0039533D">
        <w:rPr>
          <w:u w:val="single"/>
        </w:rPr>
        <w:t>Leichty v. Clerk of Circuit Court, Lake Cnty</w:t>
      </w:r>
      <w:r w:rsidR="0082131C">
        <w:rPr>
          <w:u w:val="single"/>
        </w:rPr>
        <w:t>.</w:t>
      </w:r>
      <w:r w:rsidRPr="00963E00">
        <w:t>, 948 So. 2d 47</w:t>
      </w:r>
      <w:r>
        <w:t>, 48</w:t>
      </w:r>
      <w:r w:rsidRPr="00963E00">
        <w:t xml:space="preserve"> (Fla. 5th DCA 2007). </w:t>
      </w:r>
      <w:r w:rsidR="001F2808">
        <w:t xml:space="preserve"> </w:t>
      </w:r>
      <w:r w:rsidRPr="00963E00">
        <w:rPr>
          <w:u w:val="single"/>
        </w:rPr>
        <w:t>But see</w:t>
      </w:r>
      <w:r w:rsidRPr="00963E00">
        <w:t xml:space="preserve"> </w:t>
      </w:r>
      <w:r w:rsidRPr="0039533D">
        <w:rPr>
          <w:u w:val="single"/>
        </w:rPr>
        <w:t>Musmacher v. McDonough</w:t>
      </w:r>
      <w:r w:rsidRPr="00963E00">
        <w:t>, 969 So. 2d 1101</w:t>
      </w:r>
      <w:r>
        <w:t>, 1103</w:t>
      </w:r>
      <w:r w:rsidRPr="00963E00">
        <w:t xml:space="preserve"> (Fla. 1st DCA 2007) (distinguishing </w:t>
      </w:r>
      <w:r w:rsidRPr="00963E00">
        <w:rPr>
          <w:u w:val="single"/>
        </w:rPr>
        <w:t>Leichty</w:t>
      </w:r>
      <w:r w:rsidRPr="00963E00">
        <w:t xml:space="preserve"> under circumstances of case, and directing clerk of </w:t>
      </w:r>
      <w:r w:rsidR="001A5338">
        <w:t>c</w:t>
      </w:r>
      <w:r w:rsidRPr="00963E00">
        <w:t xml:space="preserve">ircuit court to accept petitioner’s petition for writ of mandamus because it would be impossible for petitioner to request relief from circuit court judge when circuit court clerk will not accept any pleadings he files). </w:t>
      </w:r>
    </w:p>
    <w:p w:rsidR="00EB7EBD" w:rsidP="000866EB">
      <w:pPr>
        <w:pStyle w:val="DoubleSpace"/>
      </w:pPr>
      <w:r>
        <w:tab/>
      </w:r>
      <w:r w:rsidR="00AF14AF">
        <w:t xml:space="preserve">Bennett </w:t>
      </w:r>
      <w:r>
        <w:t xml:space="preserve">has failed to demonstrate entitlement to relief from this </w:t>
      </w:r>
      <w:r w:rsidR="001A5338">
        <w:t>C</w:t>
      </w:r>
      <w:r>
        <w:t>ourt</w:t>
      </w:r>
      <w:r w:rsidR="0039533D">
        <w:t>.  We deny the petition.</w:t>
      </w:r>
    </w:p>
    <w:p w:rsidR="0039533D" w:rsidRPr="00963E00" w:rsidP="00EB7EBD">
      <w:pPr>
        <w:pStyle w:val="5DCABodyText"/>
        <w:ind w:firstLine="0"/>
      </w:pPr>
      <w:r>
        <w:tab/>
        <w:t>PETITION DENIED.</w:t>
      </w:r>
    </w:p>
    <w:p w:rsidR="0039533D">
      <w:bookmarkStart w:id="8" w:name="SeniorJudge"/>
    </w:p>
    <w:p w:rsidR="00AE22D0" w:rsidRPr="003B1541">
      <w:r>
        <w:fldChar w:fldCharType="begin">
          <w:ffData>
            <w:name w:val="SeniorJudge"/>
            <w:enabled/>
            <w:calcOnExit w:val="0"/>
            <w:textInput/>
          </w:ffData>
        </w:fldChar>
      </w:r>
      <w:r>
        <w:instrText xml:space="preserve"> FORMTEXT </w:instrText>
      </w:r>
      <w:r>
        <w:fldChar w:fldCharType="separate"/>
      </w:r>
      <w:r w:rsidR="00EB7EBD">
        <w:t>TORPY, C.J.</w:t>
      </w:r>
      <w:r>
        <w:fldChar w:fldCharType="end"/>
      </w:r>
      <w:bookmarkEnd w:id="8"/>
      <w:r w:rsidR="0039533D">
        <w:t>, ORFINGER</w:t>
      </w:r>
      <w:r>
        <w:t xml:space="preserve"> and </w:t>
      </w:r>
      <w:bookmarkStart w:id="9" w:name="JuniorJudge"/>
      <w:r>
        <w:fldChar w:fldCharType="begin">
          <w:ffData>
            <w:name w:val="JuniorJudge"/>
            <w:enabled/>
            <w:calcOnExit w:val="0"/>
            <w:textInput/>
          </w:ffData>
        </w:fldChar>
      </w:r>
      <w:r>
        <w:instrText xml:space="preserve"> FORMTEXT </w:instrText>
      </w:r>
      <w:r>
        <w:fldChar w:fldCharType="separate"/>
      </w:r>
      <w:r w:rsidR="00EB7EBD">
        <w:t>EVANDER</w:t>
      </w:r>
      <w:r>
        <w:fldChar w:fldCharType="end"/>
      </w:r>
      <w:bookmarkEnd w:id="9"/>
      <w:r>
        <w:t>, JJ., concur.</w:t>
      </w:r>
    </w:p>
    <w:sectPr>
      <w:headerReference w:type="even" r:id="rId5"/>
      <w:headerReference w:type="default" r:id="rId6"/>
      <w:footerReference w:type="even" r:id="rId7"/>
      <w:footerReference w:type="default" r:id="rId8"/>
      <w:headerReference w:type="first" r:id="rId9"/>
      <w:footerReference w:type="first" r:id="rId10"/>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E22D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AE22D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E22D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B28A6">
      <w:rPr>
        <w:rStyle w:val="PageNumber"/>
        <w:noProof/>
      </w:rPr>
      <w:t>3</w:t>
    </w:r>
    <w:r>
      <w:rPr>
        <w:rStyle w:val="PageNumber"/>
      </w:rPr>
      <w:fldChar w:fldCharType="end"/>
    </w:r>
  </w:p>
  <w:p w:rsidR="00AE22D0">
    <w:pPr>
      <w:pStyle w:val="Footer"/>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E22D0">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EB7EBD">
      <w:r>
        <w:separator/>
      </w:r>
    </w:p>
  </w:footnote>
  <w:footnote w:type="continuationSeparator" w:id="1">
    <w:p w:rsidR="00EB7EBD">
      <w:r>
        <w:continuationSeparator/>
      </w:r>
    </w:p>
  </w:footnote>
  <w:footnote w:id="2">
    <w:p w:rsidR="00192904">
      <w:pPr>
        <w:pStyle w:val="FootnoteText"/>
      </w:pPr>
      <w:r>
        <w:rPr>
          <w:rStyle w:val="FootnoteReference"/>
        </w:rPr>
        <w:footnoteRef/>
      </w:r>
      <w:r>
        <w:t xml:space="preserve"> </w:t>
      </w:r>
      <w:r>
        <w:rPr>
          <w:u w:val="single"/>
        </w:rPr>
        <w:t>Anders v. California</w:t>
      </w:r>
      <w:r>
        <w:t>, 386 U.S. 738 (1967).</w:t>
      </w:r>
    </w:p>
    <w:p w:rsidR="00192904" w:rsidRPr="00192904">
      <w:pPr>
        <w:pStyle w:val="FootnoteText"/>
      </w:pPr>
    </w:p>
  </w:footnote>
  <w:footnote w:id="3">
    <w:p w:rsidR="00EB7EBD" w:rsidP="00EB7EBD">
      <w:pPr>
        <w:pStyle w:val="FootnoteText"/>
      </w:pPr>
      <w:r>
        <w:rPr>
          <w:rStyle w:val="FootnoteReference"/>
        </w:rPr>
        <w:footnoteRef/>
      </w:r>
      <w:r>
        <w:t xml:space="preserve"> </w:t>
      </w:r>
      <w:r w:rsidR="00116CE0">
        <w:t xml:space="preserve">It </w:t>
      </w:r>
      <w:r>
        <w:t>does not appear</w:t>
      </w:r>
      <w:r w:rsidR="00116CE0">
        <w:t xml:space="preserve"> that Bennett</w:t>
      </w:r>
      <w:r>
        <w:t xml:space="preserve"> filed a direct appeal in this case; consequently, it is unlikely that transcripts were prepared of his plea and sentencing proceedings.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B28A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B28A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B28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2A1551D"/>
    <w:multiLevelType w:val="hybridMultilevel"/>
    <w:tmpl w:val="F8D6EA54"/>
    <w:lvl w:ilvl="0">
      <w:start w:val="5"/>
      <w:numFmt w:val="lowerRoman"/>
      <w:lvlText w:val="%1."/>
      <w:lvlJc w:val="left"/>
      <w:pPr>
        <w:tabs>
          <w:tab w:val="num" w:pos="6120"/>
        </w:tabs>
        <w:ind w:left="6120" w:hanging="57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720"/>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rFonts w:ascii="Arial" w:hAnsi="Arial"/>
      <w:sz w:val="24"/>
      <w:szCs w:val="24"/>
    </w:rPr>
  </w:style>
  <w:style w:type="paragraph" w:styleId="Heading1">
    <w:name w:val="heading 1"/>
    <w:basedOn w:val="Normal"/>
    <w:next w:val="Normal"/>
    <w:qFormat/>
    <w:pPr>
      <w:keepNext/>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pPr>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DCABodyText">
    <w:name w:val="5DCA Body Text"/>
    <w:basedOn w:val="Normal"/>
    <w:pPr>
      <w:spacing w:after="120" w:line="480" w:lineRule="auto"/>
      <w:ind w:firstLine="720"/>
    </w:pPr>
  </w:style>
  <w:style w:type="paragraph" w:customStyle="1" w:styleId="Center">
    <w:name w:val="Center"/>
    <w:aliases w:val="Caps,Underline"/>
    <w:basedOn w:val="Normal"/>
    <w:next w:val="Normal"/>
    <w:pPr>
      <w:jc w:val="center"/>
      <w:outlineLvl w:val="0"/>
    </w:pPr>
    <w:rPr>
      <w:caps/>
      <w:u w:val="single"/>
    </w:rPr>
  </w:style>
  <w:style w:type="paragraph" w:customStyle="1" w:styleId="DoubleSpace">
    <w:name w:val="Double Space"/>
    <w:basedOn w:val="Normal"/>
    <w:pPr>
      <w:spacing w:line="480" w:lineRule="auto"/>
    </w:pPr>
  </w:style>
  <w:style w:type="paragraph" w:styleId="FootnoteText">
    <w:name w:val="footnote text"/>
    <w:basedOn w:val="Normal"/>
    <w:semiHidden/>
    <w:pPr>
      <w:ind w:firstLine="720"/>
    </w:pPr>
    <w:rPr>
      <w:szCs w:val="20"/>
    </w:rPr>
  </w:style>
  <w:style w:type="paragraph" w:customStyle="1" w:styleId="Issues">
    <w:name w:val="Issues"/>
    <w:basedOn w:val="Normal"/>
    <w:pPr>
      <w:spacing w:after="240"/>
      <w:ind w:left="1440" w:right="1440" w:hanging="720"/>
    </w:pPr>
    <w:rPr>
      <w:caps/>
    </w:rPr>
  </w:style>
  <w:style w:type="paragraph" w:styleId="Quote">
    <w:name w:val="Quote"/>
    <w:basedOn w:val="Normal"/>
    <w:qFormat/>
    <w:pPr>
      <w:ind w:left="1440" w:right="1440"/>
    </w:pPr>
  </w:style>
  <w:style w:type="paragraph" w:customStyle="1" w:styleId="UnderlineCenterBold">
    <w:name w:val="Underline Center &amp; Bold"/>
    <w:basedOn w:val="Normal"/>
    <w:next w:val="Normal"/>
    <w:pPr>
      <w:jc w:val="center"/>
    </w:pPr>
    <w:rPr>
      <w:rFonts w:cs="Arial"/>
      <w:b/>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CenteredandBold">
    <w:name w:val="Centered and Bold"/>
    <w:basedOn w:val="Normal"/>
    <w:next w:val="Normal"/>
    <w:pPr>
      <w:spacing w:after="240"/>
      <w:jc w:val="center"/>
    </w:pPr>
    <w:rPr>
      <w:b/>
    </w:rPr>
  </w:style>
  <w:style w:type="paragraph" w:customStyle="1" w:styleId="Quoteinquote">
    <w:name w:val="Quote in quote"/>
    <w:basedOn w:val="Quote"/>
    <w:rsid w:val="00582DA0"/>
    <w:pPr>
      <w:ind w:left="2160" w:right="2160"/>
    </w:pPr>
  </w:style>
  <w:style w:type="character" w:styleId="Hyperlink">
    <w:name w:val="Hyperlink"/>
    <w:rsid w:val="00EB7EBD"/>
    <w:rPr>
      <w:color w:val="0000FF"/>
      <w:u w:val="single"/>
    </w:rPr>
  </w:style>
  <w:style w:type="character" w:styleId="FootnoteReference">
    <w:name w:val="footnote reference"/>
    <w:rsid w:val="00EB7EB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3.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CBE800AA.dotm</Template>
  <TotalTime>0</TotalTime>
  <Pages>3</Pages>
  <Words>621</Words>
  <Characters>3542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IN THE DISTRICT COURT OF APPEAL OF THE STATE OF  FLORIDA</vt:lpstr>
    </vt:vector>
  </TitlesOfParts>
  <Company/>
  <LinksUpToDate>false</LinksUpToDate>
  <CharactersWithSpaces>4155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2014-11-06T14:04:37Z</dcterms:created>
  <dcterms:modified xsi:type="dcterms:W3CDTF">2014-11-06T14:04:37Z</dcterms:modified>
</cp:coreProperties>
</file>