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2.0.0 -->
  <w:body>
    <w:p w:rsidR="00405A34">
      <w:pPr>
        <w:tabs>
          <w:tab w:val="left" w:pos="0"/>
        </w:tabs>
        <w:ind w:right="12"/>
        <w:jc w:val="center"/>
        <w:rPr>
          <w:rFonts w:ascii="CloisterBlack BT" w:hAnsi="CloisterBlack BT"/>
          <w:sz w:val="72"/>
          <w:szCs w:val="72"/>
        </w:rPr>
      </w:pPr>
      <w:bookmarkStart w:id="0" w:name="_GoBack"/>
      <w:bookmarkEnd w:id="0"/>
      <w:smartTag w:uri="urn:schemas-microsoft-com:office:smarttags" w:element="PersonName">
        <w:r>
          <w:rPr>
            <w:rFonts w:ascii="CloisterBlack BT" w:hAnsi="CloisterBlack BT"/>
            <w:sz w:val="72"/>
            <w:szCs w:val="72"/>
          </w:rPr>
          <w:t>Third District Court of Appeal</w:t>
        </w:r>
      </w:smartTag>
    </w:p>
    <w:p w:rsidR="00405A34">
      <w:pPr>
        <w:ind w:right="12"/>
        <w:jc w:val="center"/>
        <w:rPr>
          <w:b/>
          <w:sz w:val="32"/>
          <w:szCs w:val="32"/>
        </w:rPr>
      </w:pPr>
      <w:r>
        <w:rPr>
          <w:b/>
          <w:sz w:val="32"/>
          <w:szCs w:val="32"/>
        </w:rPr>
        <w:t>State of Florida</w:t>
      </w:r>
    </w:p>
    <w:p w:rsidR="00405A34">
      <w:pPr>
        <w:spacing w:line="360" w:lineRule="auto"/>
        <w:ind w:right="12"/>
        <w:jc w:val="center"/>
        <w:rPr>
          <w:b/>
        </w:rPr>
      </w:pPr>
    </w:p>
    <w:p w:rsidR="00405A34">
      <w:pPr>
        <w:tabs>
          <w:tab w:val="left" w:pos="4680"/>
          <w:tab w:val="left" w:pos="5760"/>
          <w:tab w:val="left" w:pos="7200"/>
        </w:tabs>
        <w:ind w:right="12"/>
        <w:jc w:val="center"/>
      </w:pPr>
      <w:r>
        <w:t xml:space="preserve">Opinion filed </w:t>
      </w:r>
      <w:r w:rsidR="009A1E82">
        <w:t>November 26, 2014</w:t>
      </w:r>
      <w:r>
        <w:t>.</w:t>
      </w:r>
    </w:p>
    <w:p w:rsidR="00405A34">
      <w:pPr>
        <w:ind w:right="12"/>
        <w:jc w:val="center"/>
      </w:pPr>
      <w:r>
        <w:t>Not final until disposition of timely filed motion for rehearing.</w:t>
      </w:r>
    </w:p>
    <w:p w:rsidR="00405A34">
      <w:pPr>
        <w:ind w:right="12"/>
        <w:jc w:val="center"/>
      </w:pPr>
    </w:p>
    <w:p w:rsidR="00405A34">
      <w:pPr>
        <w:ind w:right="12"/>
        <w:jc w:val="center"/>
      </w:pPr>
      <w:r>
        <w:t>________________</w:t>
      </w:r>
    </w:p>
    <w:p w:rsidR="00405A34">
      <w:pPr>
        <w:ind w:right="12"/>
        <w:jc w:val="center"/>
      </w:pPr>
    </w:p>
    <w:p w:rsidR="00405A34">
      <w:pPr>
        <w:ind w:right="12"/>
        <w:jc w:val="center"/>
      </w:pPr>
      <w:r>
        <w:t xml:space="preserve">No. </w:t>
      </w:r>
      <w:r w:rsidR="006A4C42">
        <w:fldChar w:fldCharType="begin"/>
      </w:r>
      <w:r w:rsidR="006A4C42">
        <w:instrText xml:space="preserve"> FILLIN  "Case No.:"  \* MERGEFORMAT </w:instrText>
      </w:r>
      <w:r w:rsidR="006A4C42">
        <w:fldChar w:fldCharType="separate"/>
      </w:r>
      <w:r>
        <w:t>3D14-988</w:t>
      </w:r>
      <w:r w:rsidR="006A4C42">
        <w:fldChar w:fldCharType="end"/>
      </w:r>
    </w:p>
    <w:p w:rsidR="00405A34">
      <w:pPr>
        <w:ind w:right="12"/>
        <w:jc w:val="center"/>
      </w:pPr>
      <w:r>
        <w:t xml:space="preserve">Lower Tribunal No. </w:t>
      </w:r>
      <w:r w:rsidR="006A4C42">
        <w:fldChar w:fldCharType="begin"/>
      </w:r>
      <w:r w:rsidR="006A4C42">
        <w:instrText xml:space="preserve"> FILLIN  "Lower Tribunal No.:"  \* MERGEFORMAT </w:instrText>
      </w:r>
      <w:r w:rsidR="006A4C42">
        <w:fldChar w:fldCharType="separate"/>
      </w:r>
      <w:r>
        <w:t>12-31867</w:t>
      </w:r>
      <w:r w:rsidR="006A4C42">
        <w:fldChar w:fldCharType="end"/>
      </w:r>
    </w:p>
    <w:p w:rsidR="00405A34">
      <w:pPr>
        <w:ind w:right="12"/>
        <w:jc w:val="center"/>
      </w:pPr>
      <w:r>
        <w:t>________________</w:t>
      </w:r>
    </w:p>
    <w:p w:rsidR="00405A34">
      <w:pPr>
        <w:ind w:right="12"/>
        <w:jc w:val="center"/>
      </w:pPr>
    </w:p>
    <w:p w:rsidR="00405A34">
      <w:pPr>
        <w:ind w:right="12"/>
        <w:jc w:val="center"/>
      </w:pPr>
    </w:p>
    <w:p w:rsidR="00405A34">
      <w:pPr>
        <w:ind w:right="12"/>
        <w:jc w:val="center"/>
        <w:rPr>
          <w:b/>
          <w:sz w:val="32"/>
          <w:szCs w:val="32"/>
        </w:rPr>
      </w:pPr>
      <w:r>
        <w:rPr>
          <w:b/>
          <w:sz w:val="32"/>
          <w:szCs w:val="32"/>
        </w:rPr>
        <w:fldChar w:fldCharType="begin"/>
      </w:r>
      <w:r>
        <w:rPr>
          <w:b/>
          <w:sz w:val="32"/>
          <w:szCs w:val="32"/>
        </w:rPr>
        <w:instrText xml:space="preserve"> FILLIN  Appellant:  \* MERGEFORMAT </w:instrText>
      </w:r>
      <w:r>
        <w:rPr>
          <w:b/>
          <w:sz w:val="32"/>
          <w:szCs w:val="32"/>
        </w:rPr>
        <w:fldChar w:fldCharType="separate"/>
      </w:r>
      <w:r>
        <w:rPr>
          <w:b/>
          <w:sz w:val="32"/>
          <w:szCs w:val="32"/>
        </w:rPr>
        <w:t>Orthopedic Care Center</w:t>
      </w:r>
      <w:r>
        <w:rPr>
          <w:b/>
          <w:sz w:val="32"/>
          <w:szCs w:val="32"/>
        </w:rPr>
        <w:fldChar w:fldCharType="end"/>
      </w:r>
      <w:r>
        <w:rPr>
          <w:b/>
          <w:sz w:val="32"/>
          <w:szCs w:val="32"/>
        </w:rPr>
        <w:t>,</w:t>
      </w:r>
    </w:p>
    <w:p w:rsidR="00405A34">
      <w:pPr>
        <w:ind w:right="12"/>
        <w:jc w:val="center"/>
      </w:pPr>
      <w:r>
        <w:t>Appellant,</w:t>
      </w:r>
    </w:p>
    <w:p w:rsidR="00405A34">
      <w:pPr>
        <w:ind w:right="12"/>
        <w:jc w:val="center"/>
      </w:pPr>
    </w:p>
    <w:p w:rsidR="00405A34">
      <w:pPr>
        <w:ind w:right="12"/>
        <w:jc w:val="center"/>
      </w:pPr>
      <w:r>
        <w:t>vs.</w:t>
      </w:r>
    </w:p>
    <w:p w:rsidR="00405A34">
      <w:pPr>
        <w:ind w:right="12"/>
        <w:jc w:val="center"/>
      </w:pPr>
    </w:p>
    <w:p w:rsidR="00405A34">
      <w:pPr>
        <w:ind w:right="12"/>
        <w:jc w:val="center"/>
        <w:rPr>
          <w:b/>
          <w:sz w:val="32"/>
          <w:szCs w:val="32"/>
        </w:rPr>
      </w:pPr>
      <w:r>
        <w:rPr>
          <w:b/>
          <w:sz w:val="32"/>
          <w:szCs w:val="32"/>
        </w:rPr>
        <w:fldChar w:fldCharType="begin"/>
      </w:r>
      <w:r>
        <w:rPr>
          <w:b/>
          <w:sz w:val="32"/>
          <w:szCs w:val="32"/>
        </w:rPr>
        <w:instrText xml:space="preserve"> FILLIN  Appellee:  \* MERGEFORMAT </w:instrText>
      </w:r>
      <w:r>
        <w:rPr>
          <w:b/>
          <w:sz w:val="32"/>
          <w:szCs w:val="32"/>
        </w:rPr>
        <w:fldChar w:fldCharType="separate"/>
      </w:r>
      <w:r>
        <w:rPr>
          <w:b/>
          <w:sz w:val="32"/>
          <w:szCs w:val="32"/>
        </w:rPr>
        <w:t>Devon Parks, et al.</w:t>
      </w:r>
      <w:r>
        <w:rPr>
          <w:b/>
          <w:sz w:val="32"/>
          <w:szCs w:val="32"/>
        </w:rPr>
        <w:fldChar w:fldCharType="end"/>
      </w:r>
      <w:r>
        <w:rPr>
          <w:b/>
          <w:sz w:val="32"/>
          <w:szCs w:val="32"/>
        </w:rPr>
        <w:t>,</w:t>
      </w:r>
    </w:p>
    <w:p w:rsidR="00405A34">
      <w:pPr>
        <w:ind w:right="12"/>
        <w:jc w:val="center"/>
      </w:pPr>
      <w:r>
        <w:t>Appellees.</w:t>
      </w:r>
    </w:p>
    <w:p w:rsidR="00405A34">
      <w:pPr>
        <w:ind w:right="12"/>
        <w:jc w:val="center"/>
      </w:pPr>
    </w:p>
    <w:p w:rsidR="00405A34">
      <w:pPr>
        <w:ind w:right="12"/>
        <w:jc w:val="center"/>
      </w:pPr>
    </w:p>
    <w:p w:rsidR="00405A34">
      <w:pPr>
        <w:ind w:right="12"/>
        <w:jc w:val="both"/>
      </w:pPr>
    </w:p>
    <w:p w:rsidR="00405A34">
      <w:pPr>
        <w:ind w:right="12"/>
        <w:jc w:val="both"/>
      </w:pPr>
      <w:r>
        <w:tab/>
        <w:t xml:space="preserve">An Appeal from the Circuit Court for </w:t>
      </w:r>
      <w:smartTag w:uri="urn:schemas-microsoft-com:office:smarttags" w:element="City">
        <w:smartTag w:uri="urn:schemas-microsoft-com:office:smarttags" w:element="country-region">
          <w:smartTag w:uri="urn:schemas-microsoft-com:office:smarttags" w:element="State">
            <w:r>
              <w:t>Miami</w:t>
            </w:r>
          </w:smartTag>
        </w:smartTag>
      </w:smartTag>
      <w:r>
        <w:t>-</w:t>
      </w:r>
      <w:smartTag w:uri="urn:schemas-microsoft-com:office:smarttags" w:element="place">
        <w:smartTag w:uri="urn:schemas-microsoft-com:office:smarttags" w:element="PlaceName">
          <w:r>
            <w:t>Dade</w:t>
          </w:r>
        </w:smartTag>
        <w:r>
          <w:t xml:space="preserve"> </w:t>
        </w:r>
        <w:smartTag w:uri="urn:schemas-microsoft-com:office:smarttags" w:element="PlaceType">
          <w:r>
            <w:t>County</w:t>
          </w:r>
        </w:smartTag>
      </w:smartTag>
      <w:r>
        <w:t xml:space="preserve">, </w:t>
      </w:r>
      <w:r w:rsidR="006A4C42">
        <w:fldChar w:fldCharType="begin"/>
      </w:r>
      <w:r w:rsidR="006A4C42">
        <w:instrText xml:space="preserve"> FILLIN  "Circuit Court Judge"  \* MERGEFORMAT </w:instrText>
      </w:r>
      <w:r w:rsidR="006A4C42">
        <w:fldChar w:fldCharType="separate"/>
      </w:r>
      <w:r>
        <w:t>Lisa S. Walsh</w:t>
      </w:r>
      <w:r w:rsidR="006A4C42">
        <w:fldChar w:fldCharType="end"/>
      </w:r>
      <w:r>
        <w:t>, Judge.</w:t>
      </w:r>
    </w:p>
    <w:p w:rsidR="00405A34">
      <w:pPr>
        <w:ind w:right="12"/>
        <w:jc w:val="both"/>
      </w:pPr>
    </w:p>
    <w:p w:rsidR="00405A34">
      <w:pPr>
        <w:ind w:right="12"/>
        <w:jc w:val="both"/>
      </w:pPr>
      <w:r>
        <w:tab/>
      </w:r>
      <w:r>
        <w:fldChar w:fldCharType="begin"/>
      </w:r>
      <w:r>
        <w:instrText xml:space="preserve"> FILLIN  "Attorney for Appellant"  \* MERGEFORMAT </w:instrText>
      </w:r>
      <w:r>
        <w:fldChar w:fldCharType="separate"/>
      </w:r>
      <w:r>
        <w:t xml:space="preserve">Fuerst Itleman David and Joseph and Christopher M. David; Kula &amp; Samson and </w:t>
      </w:r>
      <w:r w:rsidR="005C2F9F">
        <w:t xml:space="preserve">Elliott Kula, </w:t>
      </w:r>
      <w:r>
        <w:t>W. Aaron Daniel</w:t>
      </w:r>
      <w:r>
        <w:fldChar w:fldCharType="end"/>
      </w:r>
      <w:r w:rsidR="005C2F9F">
        <w:t xml:space="preserve"> and Daniel M. Samson</w:t>
      </w:r>
      <w:r>
        <w:t>, for appellant.</w:t>
      </w:r>
    </w:p>
    <w:p w:rsidR="00405A34">
      <w:pPr>
        <w:ind w:right="12"/>
        <w:jc w:val="both"/>
      </w:pPr>
    </w:p>
    <w:p w:rsidR="00405A34">
      <w:pPr>
        <w:ind w:right="12"/>
        <w:jc w:val="both"/>
      </w:pPr>
      <w:r>
        <w:tab/>
      </w:r>
      <w:r>
        <w:fldChar w:fldCharType="begin"/>
      </w:r>
      <w:r>
        <w:instrText xml:space="preserve"> FILLIN  "Attorney for Appellee"  \* MERGEFORMAT </w:instrText>
      </w:r>
      <w:r>
        <w:fldChar w:fldCharType="separate"/>
      </w:r>
      <w:r>
        <w:t xml:space="preserve">Gordon &amp; Doner </w:t>
      </w:r>
      <w:r w:rsidR="005C2F9F">
        <w:t>and Cassandra Castellano-Lombard and Gary M. Paige (Davie)</w:t>
      </w:r>
      <w:r>
        <w:t>; Burlington &amp; Rockenbach and Adam J. Richardson</w:t>
      </w:r>
      <w:r>
        <w:fldChar w:fldCharType="end"/>
      </w:r>
      <w:r>
        <w:t xml:space="preserve"> </w:t>
      </w:r>
      <w:r w:rsidR="005C2F9F">
        <w:t>(</w:t>
      </w:r>
      <w:r>
        <w:t>West Palm Beach), for appellees.</w:t>
      </w:r>
    </w:p>
    <w:p w:rsidR="00405A34">
      <w:pPr>
        <w:ind w:right="12"/>
        <w:jc w:val="both"/>
      </w:pPr>
    </w:p>
    <w:p w:rsidR="00405A34">
      <w:pPr>
        <w:ind w:right="12"/>
        <w:jc w:val="both"/>
      </w:pPr>
    </w:p>
    <w:p w:rsidR="00405A34">
      <w:pPr>
        <w:ind w:right="12"/>
        <w:jc w:val="both"/>
      </w:pPr>
      <w:r>
        <w:t xml:space="preserve">Before WELLS, EMAS and LOGUE, JJ. </w:t>
      </w:r>
    </w:p>
    <w:p w:rsidR="00405A34">
      <w:pPr>
        <w:ind w:right="12"/>
        <w:jc w:val="both"/>
      </w:pPr>
    </w:p>
    <w:p w:rsidR="0081097B" w:rsidP="0072795D">
      <w:pPr>
        <w:spacing w:line="480" w:lineRule="auto"/>
        <w:ind w:right="12"/>
        <w:jc w:val="both"/>
      </w:pPr>
      <w:r>
        <w:tab/>
      </w:r>
      <w:r w:rsidR="0072795D">
        <w:t xml:space="preserve">EMAS, J. </w:t>
      </w:r>
    </w:p>
    <w:p w:rsidR="0072795D" w:rsidRPr="0072795D" w:rsidP="0072795D">
      <w:pPr>
        <w:spacing w:line="480" w:lineRule="auto"/>
        <w:ind w:firstLine="720"/>
        <w:jc w:val="both"/>
      </w:pPr>
      <w:r>
        <w:t>A</w:t>
      </w:r>
      <w:r w:rsidRPr="0072795D">
        <w:t>ppellant Orthopedic Care Center</w:t>
      </w:r>
      <w:r w:rsidR="00B46366">
        <w:t xml:space="preserve"> (“Orthopedic”)</w:t>
      </w:r>
      <w:r>
        <w:t xml:space="preserve">, </w:t>
      </w:r>
      <w:r w:rsidRPr="0072795D">
        <w:t xml:space="preserve">appeals </w:t>
      </w:r>
      <w:r w:rsidR="00B46366">
        <w:t>an</w:t>
      </w:r>
      <w:r w:rsidRPr="0072795D">
        <w:t xml:space="preserve"> </w:t>
      </w:r>
      <w:r>
        <w:t>o</w:t>
      </w:r>
      <w:r w:rsidRPr="0072795D">
        <w:t xml:space="preserve">rder </w:t>
      </w:r>
      <w:r>
        <w:t xml:space="preserve">denying </w:t>
      </w:r>
      <w:r w:rsidR="00B46366">
        <w:t>its</w:t>
      </w:r>
      <w:r>
        <w:t xml:space="preserve"> m</w:t>
      </w:r>
      <w:r w:rsidRPr="0072795D">
        <w:t xml:space="preserve">otion for </w:t>
      </w:r>
      <w:r>
        <w:t>p</w:t>
      </w:r>
      <w:r w:rsidRPr="0072795D">
        <w:t xml:space="preserve">rotective </w:t>
      </w:r>
      <w:r>
        <w:t>o</w:t>
      </w:r>
      <w:r w:rsidRPr="0072795D">
        <w:t>rder</w:t>
      </w:r>
      <w:r w:rsidR="00B46366">
        <w:t xml:space="preserve">.  </w:t>
      </w:r>
      <w:r>
        <w:t>For the reasons that follow, we affirm the trial court’s order.</w:t>
      </w:r>
    </w:p>
    <w:p w:rsidR="0072795D" w:rsidRPr="0072795D" w:rsidP="0072795D">
      <w:pPr>
        <w:spacing w:line="480" w:lineRule="auto"/>
        <w:ind w:firstLine="720"/>
        <w:jc w:val="both"/>
        <w:rPr>
          <w:rFonts w:eastAsia="ヒラギノ角ゴ Pro W3"/>
          <w:b/>
          <w:color w:val="000000"/>
          <w:szCs w:val="24"/>
          <w:u w:val="single"/>
        </w:rPr>
      </w:pPr>
      <w:r>
        <w:rPr>
          <w:rFonts w:eastAsia="ヒラギノ角ゴ Pro W3"/>
          <w:b/>
          <w:color w:val="000000"/>
          <w:szCs w:val="24"/>
          <w:u w:val="single"/>
        </w:rPr>
        <w:t>FACTS</w:t>
      </w:r>
    </w:p>
    <w:p w:rsidR="0072795D" w:rsidRPr="0072795D" w:rsidP="0072795D">
      <w:pPr>
        <w:spacing w:line="480" w:lineRule="auto"/>
        <w:ind w:firstLine="720"/>
        <w:jc w:val="both"/>
      </w:pPr>
      <w:r w:rsidRPr="0072795D">
        <w:rPr>
          <w:rFonts w:eastAsia="ヒラギノ角ゴ Pro W3"/>
          <w:color w:val="000000"/>
          <w:szCs w:val="24"/>
        </w:rPr>
        <w:t xml:space="preserve">Appellee </w:t>
      </w:r>
      <w:r w:rsidRPr="0072795D">
        <w:t xml:space="preserve">Devon Parks (“Parks”) filed </w:t>
      </w:r>
      <w:r>
        <w:t>a</w:t>
      </w:r>
      <w:r w:rsidRPr="0072795D">
        <w:t xml:space="preserve"> personal injury action against Edna Gutierrez (“Gutierrez”) in August 2012, alleging </w:t>
      </w:r>
      <w:r w:rsidR="00D93566">
        <w:t xml:space="preserve">that </w:t>
      </w:r>
      <w:r w:rsidRPr="0072795D">
        <w:t xml:space="preserve">Gutierrez </w:t>
      </w:r>
      <w:r w:rsidR="00D93566">
        <w:t xml:space="preserve">was </w:t>
      </w:r>
      <w:r w:rsidRPr="0072795D">
        <w:t>negligen</w:t>
      </w:r>
      <w:r w:rsidR="00D93566">
        <w:t>t</w:t>
      </w:r>
      <w:r w:rsidRPr="0072795D">
        <w:t xml:space="preserve"> </w:t>
      </w:r>
      <w:r w:rsidR="00D93566">
        <w:t xml:space="preserve">and </w:t>
      </w:r>
      <w:r w:rsidRPr="0072795D">
        <w:t xml:space="preserve">caused </w:t>
      </w:r>
      <w:r w:rsidR="00B46366">
        <w:t>a</w:t>
      </w:r>
      <w:r w:rsidRPr="0072795D">
        <w:t xml:space="preserve"> car accident between the two, </w:t>
      </w:r>
      <w:r w:rsidR="00D93566">
        <w:t xml:space="preserve">resulting in injuries to </w:t>
      </w:r>
      <w:r w:rsidRPr="0072795D">
        <w:t xml:space="preserve">Park.  Gutierrez hired Dr. </w:t>
      </w:r>
      <w:r w:rsidR="00D93566">
        <w:t xml:space="preserve">Rolando </w:t>
      </w:r>
      <w:r w:rsidRPr="0072795D">
        <w:t>Garcia, a physician with O</w:t>
      </w:r>
      <w:r w:rsidR="00D93566">
        <w:t>rthopedic</w:t>
      </w:r>
      <w:r w:rsidRPr="0072795D">
        <w:t xml:space="preserve"> (and also a shareholder and member of </w:t>
      </w:r>
      <w:r w:rsidR="00D93566">
        <w:t>Orthopedic</w:t>
      </w:r>
      <w:r w:rsidRPr="0072795D">
        <w:t xml:space="preserve">), to conduct a compulsory medical examination of Parks.  </w:t>
      </w:r>
    </w:p>
    <w:p w:rsidR="0072795D" w:rsidRPr="0072795D" w:rsidP="0072795D">
      <w:pPr>
        <w:spacing w:line="480" w:lineRule="auto"/>
        <w:jc w:val="both"/>
      </w:pPr>
      <w:r w:rsidRPr="0072795D">
        <w:tab/>
      </w:r>
      <w:r w:rsidR="00B46366">
        <w:t xml:space="preserve">Thereafter, </w:t>
      </w:r>
      <w:r w:rsidRPr="0072795D">
        <w:t>Parks noticed the deposition duces tecum of Dr. Garcia for March 7, 2014.  In items 16 and 17 of the schedule attached to the notice, Parks asked Dr. Garcia to bring to the deposition:</w:t>
      </w:r>
    </w:p>
    <w:p w:rsidR="0072795D" w:rsidRPr="0072795D" w:rsidP="0072795D">
      <w:pPr>
        <w:ind w:left="720" w:right="720"/>
        <w:jc w:val="both"/>
      </w:pPr>
      <w:r w:rsidRPr="0072795D">
        <w:t xml:space="preserve">16.  Any and all records which identify and document your trial testimony and deposition testimony for cases involving worker’s compensation and personal injury claims during the last five (5) years.  If no list of such cases is in existence and if you do not wish to create such a list, please produce all calendars, diaries, ledgers, indexes, and such other records or documents which you have in your possession or have access to which reveal cases in which you have provided testimony in deposition, arbitration, mediation, or at trial for any cases in the last five (5) years.  </w:t>
      </w:r>
    </w:p>
    <w:p w:rsidR="0072795D" w:rsidRPr="0072795D" w:rsidP="0072795D">
      <w:pPr>
        <w:ind w:left="720" w:right="720"/>
        <w:jc w:val="both"/>
      </w:pPr>
    </w:p>
    <w:p w:rsidR="0072795D" w:rsidRPr="0072795D" w:rsidP="0072795D">
      <w:pPr>
        <w:ind w:left="720" w:right="720"/>
        <w:jc w:val="both"/>
      </w:pPr>
      <w:r w:rsidRPr="0072795D">
        <w:t xml:space="preserve">17.  Any and all records which identify and document any and all CME, IME or examinations of any type which you have conducted during the last five (5) years on behalf of insurance companies, law firms, referral services, or other entities on their behalf.  If no list of such CME, IME or examinations are in existence and if you do not wish to create such a list, please produce all calendars, diaries, ledgers, indexes and such </w:t>
      </w:r>
      <w:r w:rsidRPr="0072795D">
        <w:t xml:space="preserve">other records or documents which you have in your possession or have access to which review all CME, IME or examinations of any type in which have you have conducted during the last five years. </w:t>
      </w:r>
    </w:p>
    <w:p w:rsidR="0072795D" w:rsidRPr="0072795D" w:rsidP="0072795D">
      <w:pPr>
        <w:jc w:val="both"/>
      </w:pPr>
    </w:p>
    <w:p w:rsidR="0072795D" w:rsidRPr="0072795D" w:rsidP="00B46366">
      <w:pPr>
        <w:spacing w:line="480" w:lineRule="auto"/>
        <w:ind w:firstLine="720"/>
        <w:jc w:val="both"/>
      </w:pPr>
      <w:r w:rsidRPr="0072795D">
        <w:t xml:space="preserve">At his deposition, Dr. Garcia brought </w:t>
      </w:r>
      <w:r w:rsidR="003170C4">
        <w:t>a list</w:t>
      </w:r>
      <w:r w:rsidRPr="0072795D">
        <w:t xml:space="preserve"> of the </w:t>
      </w:r>
      <w:r w:rsidR="00D93566">
        <w:t xml:space="preserve">names of individuals in </w:t>
      </w:r>
      <w:r w:rsidRPr="0072795D">
        <w:t xml:space="preserve">cases in which he testified – either at trial or by deposition– </w:t>
      </w:r>
      <w:r w:rsidR="00D93566">
        <w:t xml:space="preserve">for </w:t>
      </w:r>
      <w:r w:rsidRPr="0072795D">
        <w:t>the immediately</w:t>
      </w:r>
      <w:r w:rsidR="00D93566">
        <w:t>-</w:t>
      </w:r>
      <w:r w:rsidRPr="0072795D">
        <w:t>preceding three years</w:t>
      </w:r>
      <w:r w:rsidR="00D93566">
        <w:t xml:space="preserve">.  The </w:t>
      </w:r>
      <w:r w:rsidR="003170C4">
        <w:t>list</w:t>
      </w:r>
      <w:r w:rsidR="00D93566">
        <w:t xml:space="preserve"> comprised </w:t>
      </w:r>
      <w:r w:rsidRPr="0072795D">
        <w:t xml:space="preserve">approximately 205 </w:t>
      </w:r>
      <w:r w:rsidR="00D93566">
        <w:t>names</w:t>
      </w:r>
      <w:r w:rsidRPr="0072795D">
        <w:t xml:space="preserve">.  Park’s counsel asked Dr. Garcia to identify from the </w:t>
      </w:r>
      <w:r w:rsidR="003170C4">
        <w:t>list</w:t>
      </w:r>
      <w:r w:rsidRPr="0072795D">
        <w:t xml:space="preserve"> those individuals for whom he provided treatment as a patient as opposed to those for whom he performed a</w:t>
      </w:r>
      <w:r w:rsidR="00D93566">
        <w:t>n IME or</w:t>
      </w:r>
      <w:r w:rsidRPr="0072795D">
        <w:t xml:space="preserve"> CME.</w:t>
      </w:r>
      <w:r>
        <w:rPr>
          <w:rStyle w:val="FootnoteReference"/>
        </w:rPr>
        <w:footnoteReference w:id="2"/>
      </w:r>
      <w:r w:rsidR="00B46366">
        <w:t xml:space="preserve">  T</w:t>
      </w:r>
      <w:r w:rsidRPr="0072795D">
        <w:t>he following exchange ensued:</w:t>
      </w:r>
    </w:p>
    <w:p w:rsidR="0072795D" w:rsidP="0072795D">
      <w:pPr>
        <w:ind w:left="720" w:right="720"/>
        <w:jc w:val="both"/>
      </w:pPr>
      <w:r w:rsidRPr="0072795D">
        <w:t>Q.  And are these – can you just tell me briefly what percentage is plaintiff, what percentage is defense?</w:t>
      </w:r>
    </w:p>
    <w:p w:rsidR="0072795D" w:rsidP="0072795D">
      <w:pPr>
        <w:ind w:left="720" w:right="720"/>
        <w:jc w:val="both"/>
      </w:pPr>
      <w:r w:rsidRPr="0072795D">
        <w:t xml:space="preserve">A. I can’t.  I can tell you that generally speaking, I would say it’s probably 70 percent defense, 30 percent plaintiff.  </w:t>
      </w:r>
    </w:p>
    <w:p w:rsidR="00D93566" w:rsidRPr="0072795D" w:rsidP="0072795D">
      <w:pPr>
        <w:ind w:left="720" w:right="720"/>
        <w:jc w:val="both"/>
      </w:pPr>
    </w:p>
    <w:p w:rsidR="0072795D" w:rsidRPr="0072795D" w:rsidP="0072795D">
      <w:pPr>
        <w:ind w:left="720" w:right="720"/>
        <w:jc w:val="both"/>
      </w:pPr>
      <w:r w:rsidRPr="0072795D">
        <w:t>Q. In deposition or in trial?</w:t>
      </w:r>
    </w:p>
    <w:p w:rsidR="0072795D" w:rsidRPr="0072795D" w:rsidP="0072795D">
      <w:pPr>
        <w:ind w:left="720" w:right="720"/>
        <w:jc w:val="both"/>
      </w:pPr>
      <w:r w:rsidRPr="0072795D">
        <w:t xml:space="preserve">A. Deposition and in trial. </w:t>
      </w:r>
    </w:p>
    <w:p w:rsidR="00D93566" w:rsidP="0072795D">
      <w:pPr>
        <w:ind w:left="720" w:right="720"/>
        <w:jc w:val="both"/>
      </w:pPr>
    </w:p>
    <w:p w:rsidR="0072795D" w:rsidRPr="0072795D" w:rsidP="0072795D">
      <w:pPr>
        <w:ind w:left="720" w:right="720"/>
        <w:jc w:val="both"/>
      </w:pPr>
      <w:r w:rsidRPr="0072795D">
        <w:t>Q.</w:t>
      </w:r>
      <w:r w:rsidR="00EF5F5F">
        <w:t xml:space="preserve"> </w:t>
      </w:r>
      <w:r w:rsidRPr="0072795D">
        <w:t>So your best recollection is that it’s 70 percent defense in depositions; correct?</w:t>
      </w:r>
    </w:p>
    <w:p w:rsidR="0072795D" w:rsidRPr="0072795D" w:rsidP="0072795D">
      <w:pPr>
        <w:ind w:left="720" w:right="720"/>
        <w:jc w:val="both"/>
      </w:pPr>
      <w:r w:rsidRPr="0072795D">
        <w:t xml:space="preserve">A. I would say so, yes, sir. </w:t>
      </w:r>
    </w:p>
    <w:p w:rsidR="00D93566" w:rsidP="0072795D">
      <w:pPr>
        <w:ind w:left="720" w:right="720"/>
        <w:jc w:val="both"/>
      </w:pPr>
    </w:p>
    <w:p w:rsidR="0072795D" w:rsidRPr="0072795D" w:rsidP="0072795D">
      <w:pPr>
        <w:ind w:left="720" w:right="720"/>
        <w:jc w:val="both"/>
      </w:pPr>
      <w:r w:rsidRPr="0072795D">
        <w:t>Q. And your best estimate is 70 percent defense in trial; correct?</w:t>
      </w:r>
    </w:p>
    <w:p w:rsidR="0072795D" w:rsidRPr="0072795D" w:rsidP="0072795D">
      <w:pPr>
        <w:ind w:left="720" w:right="720"/>
        <w:jc w:val="both"/>
      </w:pPr>
      <w:r w:rsidRPr="0072795D">
        <w:t>A. That’s correct, yes, sir….</w:t>
      </w:r>
    </w:p>
    <w:p w:rsidR="00D93566" w:rsidP="0072795D">
      <w:pPr>
        <w:ind w:left="720" w:right="720"/>
        <w:jc w:val="both"/>
      </w:pPr>
    </w:p>
    <w:p w:rsidR="0072795D" w:rsidRPr="0072795D" w:rsidP="0072795D">
      <w:pPr>
        <w:ind w:left="720" w:right="720"/>
        <w:jc w:val="both"/>
      </w:pPr>
      <w:r w:rsidRPr="0072795D">
        <w:t>Q. Okay. But I’m talking about the trial testimony, your trial testimony – do you want to look at these in the last year and tell me if you recognize the names of any of your patients in there?</w:t>
      </w:r>
    </w:p>
    <w:p w:rsidR="0072795D" w:rsidRPr="0072795D" w:rsidP="0072795D">
      <w:pPr>
        <w:ind w:left="720" w:right="720"/>
        <w:jc w:val="both"/>
      </w:pPr>
      <w:r w:rsidRPr="0072795D">
        <w:t xml:space="preserve">A. No. I don’t want to give you the wrong number. I’m going to just tell you that I cannot give you an estimate. Because I was trying to </w:t>
      </w:r>
      <w:r w:rsidRPr="0072795D">
        <w:t>answer the question, but now basically, you’re asking me to be more specific and I cannot give you a specific number….</w:t>
      </w:r>
    </w:p>
    <w:p w:rsidR="00D93566" w:rsidP="0072795D">
      <w:pPr>
        <w:ind w:left="720" w:right="720"/>
        <w:jc w:val="both"/>
      </w:pPr>
    </w:p>
    <w:p w:rsidR="0072795D" w:rsidP="0072795D">
      <w:pPr>
        <w:ind w:left="720" w:right="720"/>
        <w:jc w:val="both"/>
      </w:pPr>
      <w:r w:rsidRPr="0072795D">
        <w:t>Q. I’ll just – the list</w:t>
      </w:r>
      <w:r w:rsidR="003170C4">
        <w:t>s</w:t>
      </w:r>
      <w:r w:rsidRPr="0072795D">
        <w:t xml:space="preserve"> of the trial testimony that you just gave me, can you just look at it and tell me if you recognize which of those people that you recognize – recall as being patients that you treated and had an ongoing relationship with them as a treating physician? That’s all I want to know….</w:t>
      </w:r>
    </w:p>
    <w:p w:rsidR="00EF5F5F" w:rsidRPr="0072795D" w:rsidP="0072795D">
      <w:pPr>
        <w:ind w:left="720" w:right="720"/>
        <w:jc w:val="both"/>
      </w:pPr>
    </w:p>
    <w:p w:rsidR="0072795D" w:rsidRPr="0072795D" w:rsidP="0072795D">
      <w:pPr>
        <w:ind w:left="720" w:right="720"/>
        <w:jc w:val="both"/>
      </w:pPr>
      <w:r w:rsidRPr="0072795D">
        <w:t xml:space="preserve">THE WITNESS: Yeah, and I’ve mentioned several times, just by looking at the names, I wouldn’t be able to answer that.  </w:t>
      </w:r>
    </w:p>
    <w:p w:rsidR="0072795D" w:rsidRPr="0072795D" w:rsidP="0072795D">
      <w:pPr>
        <w:jc w:val="both"/>
      </w:pPr>
    </w:p>
    <w:p w:rsidR="0072795D" w:rsidRPr="0072795D" w:rsidP="00D93566">
      <w:pPr>
        <w:spacing w:line="480" w:lineRule="auto"/>
        <w:ind w:firstLine="720"/>
        <w:jc w:val="both"/>
      </w:pPr>
      <w:r w:rsidRPr="0072795D">
        <w:t>Dr. Garcia explained that he could not identify wh</w:t>
      </w:r>
      <w:r w:rsidR="00EF5F5F">
        <w:t xml:space="preserve">at names </w:t>
      </w:r>
      <w:r w:rsidRPr="0072795D">
        <w:t>on the list were patients</w:t>
      </w:r>
      <w:r w:rsidR="00EF5F5F">
        <w:t xml:space="preserve"> he treated</w:t>
      </w:r>
      <w:r w:rsidRPr="0072795D">
        <w:t xml:space="preserve"> (versus </w:t>
      </w:r>
      <w:r w:rsidR="00EF5F5F">
        <w:t xml:space="preserve">individuals on whom he performed </w:t>
      </w:r>
      <w:r w:rsidR="00D93566">
        <w:t>IME/</w:t>
      </w:r>
      <w:r w:rsidRPr="0072795D">
        <w:t xml:space="preserve">CME exams) just by looking at the names because “[he wouldn’t] know the extent of the treatment of a specific patient, and in addition to that, usually the trials are regarding patients that may have been treated in the past, so it could have been a while.”  Dr. Garcia approximated that on a weekly basis he saw approximately 100 patients and completed about five CMEs. </w:t>
      </w:r>
    </w:p>
    <w:p w:rsidR="0072795D" w:rsidRPr="0072795D" w:rsidP="0072795D">
      <w:pPr>
        <w:spacing w:line="480" w:lineRule="auto"/>
        <w:jc w:val="both"/>
      </w:pPr>
      <w:r w:rsidRPr="0072795D">
        <w:tab/>
        <w:t xml:space="preserve">On March 13, 2014, following Dr. Garcia’s deposition, Park’s counsel followed up with a </w:t>
      </w:r>
      <w:r w:rsidR="008A2C9B">
        <w:t>s</w:t>
      </w:r>
      <w:r w:rsidRPr="0072795D">
        <w:t xml:space="preserve">ubpoena for </w:t>
      </w:r>
      <w:r w:rsidR="008A2C9B">
        <w:t>d</w:t>
      </w:r>
      <w:r w:rsidRPr="0072795D">
        <w:t xml:space="preserve">eposition (the “Subpoena”) directed to a </w:t>
      </w:r>
      <w:r w:rsidR="008A2C9B">
        <w:t>rep</w:t>
      </w:r>
      <w:r w:rsidRPr="0072795D">
        <w:t>resentative of Orthopedic</w:t>
      </w:r>
      <w:r>
        <w:rPr>
          <w:rStyle w:val="FootnoteReference"/>
        </w:rPr>
        <w:footnoteReference w:id="3"/>
      </w:r>
      <w:r w:rsidRPr="0072795D">
        <w:t xml:space="preserve"> with the most knowledge regarding:</w:t>
      </w:r>
    </w:p>
    <w:p w:rsidR="0072795D" w:rsidP="0087531E">
      <w:pPr>
        <w:numPr>
          <w:ilvl w:val="0"/>
          <w:numId w:val="11"/>
        </w:numPr>
        <w:spacing w:after="200" w:line="276" w:lineRule="auto"/>
        <w:ind w:left="1080" w:right="720"/>
        <w:contextualSpacing/>
        <w:jc w:val="both"/>
      </w:pPr>
      <w:r w:rsidRPr="0072795D">
        <w:t xml:space="preserve">Which of the persons or cases on the lists provided by Dr. Garcia, attached as Exhibits A &amp; B, were actual patients (not </w:t>
      </w:r>
      <w:r w:rsidR="00B46366">
        <w:t>IME exams</w:t>
      </w:r>
      <w:r w:rsidRPr="0072795D">
        <w:t>) of Dr. Garcia.</w:t>
      </w:r>
      <w:r>
        <w:rPr>
          <w:vertAlign w:val="superscript"/>
        </w:rPr>
        <w:footnoteReference w:id="4"/>
      </w:r>
      <w:r w:rsidRPr="0072795D">
        <w:t xml:space="preserve">  </w:t>
      </w:r>
    </w:p>
    <w:p w:rsidR="008A2C9B" w:rsidP="0072795D">
      <w:pPr>
        <w:spacing w:line="480" w:lineRule="auto"/>
        <w:ind w:firstLine="720"/>
        <w:jc w:val="both"/>
      </w:pPr>
      <w:r w:rsidRPr="0072795D">
        <w:t>Thereafter O</w:t>
      </w:r>
      <w:r w:rsidR="00D93566">
        <w:t>rthopedic</w:t>
      </w:r>
      <w:r w:rsidR="00B46366">
        <w:t xml:space="preserve"> filed its O</w:t>
      </w:r>
      <w:r>
        <w:t xml:space="preserve">bjection and </w:t>
      </w:r>
      <w:r w:rsidR="00B46366">
        <w:t>M</w:t>
      </w:r>
      <w:r w:rsidRPr="0072795D">
        <w:t xml:space="preserve">otion for </w:t>
      </w:r>
      <w:r w:rsidR="00B46366">
        <w:t>P</w:t>
      </w:r>
      <w:r w:rsidRPr="0072795D">
        <w:t xml:space="preserve">rotective </w:t>
      </w:r>
      <w:r w:rsidR="00B46366">
        <w:t>Order of Non-Party, assert</w:t>
      </w:r>
      <w:r w:rsidRPr="0072795D">
        <w:t xml:space="preserve">ing that: (i) the Subpoena imposed </w:t>
      </w:r>
      <w:r w:rsidR="00D036E9">
        <w:t xml:space="preserve">overly burdensome </w:t>
      </w:r>
      <w:r w:rsidR="00B46366">
        <w:t xml:space="preserve">obligations beyond the scope of Florida Rules of Civil Procedure 1.280 and 1.310, and </w:t>
      </w:r>
      <w:r w:rsidRPr="0072795D">
        <w:t xml:space="preserve">in violation of </w:t>
      </w:r>
      <w:r w:rsidR="00B46366">
        <w:t xml:space="preserve">Florida law pursuant to </w:t>
      </w:r>
      <w:r w:rsidRPr="0072795D">
        <w:rPr>
          <w:u w:val="single"/>
        </w:rPr>
        <w:t>Elkins v. Syken</w:t>
      </w:r>
      <w:r w:rsidRPr="0072795D">
        <w:t xml:space="preserve">, 672 So. 2d 517 (Fla. 1996); and (ii) the Subpoena would </w:t>
      </w:r>
      <w:r>
        <w:t>require</w:t>
      </w:r>
      <w:r w:rsidRPr="0072795D">
        <w:t xml:space="preserve"> </w:t>
      </w:r>
      <w:r>
        <w:t xml:space="preserve">Orthopedic to </w:t>
      </w:r>
      <w:r w:rsidRPr="0072795D">
        <w:t>violat</w:t>
      </w:r>
      <w:r>
        <w:t>e</w:t>
      </w:r>
      <w:r w:rsidRPr="0072795D">
        <w:t xml:space="preserve"> </w:t>
      </w:r>
      <w:r>
        <w:t>s</w:t>
      </w:r>
      <w:r w:rsidRPr="0072795D">
        <w:t xml:space="preserve">ection 456.057, Florida Statutes (2013), which prohibits the disclosure of nonparty compulsory medical examination data without prior notice to all of the affected nonparties. </w:t>
      </w:r>
    </w:p>
    <w:p w:rsidR="0072795D" w:rsidRPr="0072795D" w:rsidP="0072795D">
      <w:pPr>
        <w:spacing w:line="480" w:lineRule="auto"/>
        <w:ind w:firstLine="720"/>
        <w:jc w:val="both"/>
      </w:pPr>
      <w:r w:rsidRPr="0072795D">
        <w:t>Parks responded, arguing that (i) he was entitled to know the percentage</w:t>
      </w:r>
      <w:r w:rsidR="008A2C9B">
        <w:t>s</w:t>
      </w:r>
      <w:r w:rsidRPr="0072795D">
        <w:t xml:space="preserve"> of work Dr. Garcia performed </w:t>
      </w:r>
      <w:r w:rsidR="008A2C9B">
        <w:t xml:space="preserve">as a retained expert </w:t>
      </w:r>
      <w:r w:rsidRPr="0072795D">
        <w:t xml:space="preserve">for plaintiffs and </w:t>
      </w:r>
      <w:r w:rsidR="008A2C9B">
        <w:t xml:space="preserve">as a retained expert for </w:t>
      </w:r>
      <w:r w:rsidRPr="0072795D">
        <w:t>defendants</w:t>
      </w:r>
      <w:r w:rsidR="008A2C9B">
        <w:t>,</w:t>
      </w:r>
      <w:r w:rsidRPr="0072795D">
        <w:t xml:space="preserve"> as this information went to Dr.</w:t>
      </w:r>
      <w:r w:rsidR="00D036E9">
        <w:t xml:space="preserve"> Garcia’s potential bias;</w:t>
      </w:r>
      <w:r w:rsidRPr="0072795D">
        <w:t xml:space="preserve"> (ii) the Subpoena did not place an undue burden or expense on O</w:t>
      </w:r>
      <w:r w:rsidR="00D93566">
        <w:t>rthopedic</w:t>
      </w:r>
      <w:r w:rsidR="00D036E9">
        <w:t>;</w:t>
      </w:r>
      <w:r w:rsidRPr="0072795D">
        <w:t xml:space="preserve"> and (iii) the discovery request would not result in a violation of section 456.057 because it did not seek any information regarding the patient’s </w:t>
      </w:r>
      <w:r w:rsidR="008A2C9B">
        <w:t xml:space="preserve">medical condition or </w:t>
      </w:r>
      <w:r w:rsidRPr="0072795D">
        <w:t xml:space="preserve">treatment. </w:t>
      </w:r>
    </w:p>
    <w:p w:rsidR="0072795D" w:rsidRPr="0072795D" w:rsidP="0072795D">
      <w:pPr>
        <w:spacing w:line="480" w:lineRule="auto"/>
        <w:jc w:val="both"/>
      </w:pPr>
      <w:r w:rsidRPr="0072795D">
        <w:tab/>
      </w:r>
      <w:r w:rsidR="00D036E9">
        <w:t>After</w:t>
      </w:r>
      <w:r w:rsidRPr="0072795D">
        <w:t xml:space="preserve"> a hearing</w:t>
      </w:r>
      <w:r w:rsidR="00D036E9">
        <w:t>, the trial court</w:t>
      </w:r>
      <w:r w:rsidRPr="0072795D">
        <w:t xml:space="preserve"> determined that Rule 1.280(b)(5)(A)(iii) was </w:t>
      </w:r>
      <w:r w:rsidR="0085354C">
        <w:t xml:space="preserve">intended </w:t>
      </w:r>
      <w:r w:rsidRPr="0072795D">
        <w:t xml:space="preserve">to </w:t>
      </w:r>
      <w:r w:rsidR="0085354C">
        <w:t xml:space="preserve">permit </w:t>
      </w:r>
      <w:r w:rsidR="008A2C9B">
        <w:t xml:space="preserve">discovery regarding </w:t>
      </w:r>
      <w:r w:rsidRPr="0072795D">
        <w:t xml:space="preserve">testimony given </w:t>
      </w:r>
      <w:r w:rsidR="008A2C9B">
        <w:t xml:space="preserve">by an expert </w:t>
      </w:r>
      <w:r w:rsidRPr="0085354C">
        <w:rPr>
          <w:u w:val="single"/>
        </w:rPr>
        <w:t>in the</w:t>
      </w:r>
      <w:r w:rsidRPr="0085354C" w:rsidR="00EF5F5F">
        <w:rPr>
          <w:u w:val="single"/>
        </w:rPr>
        <w:t>ir</w:t>
      </w:r>
      <w:r w:rsidRPr="0085354C">
        <w:rPr>
          <w:u w:val="single"/>
        </w:rPr>
        <w:t xml:space="preserve"> capacity </w:t>
      </w:r>
      <w:r w:rsidRPr="0085354C" w:rsidR="00EF5F5F">
        <w:rPr>
          <w:u w:val="single"/>
        </w:rPr>
        <w:t>as</w:t>
      </w:r>
      <w:r w:rsidRPr="0085354C">
        <w:rPr>
          <w:u w:val="single"/>
        </w:rPr>
        <w:t xml:space="preserve"> a </w:t>
      </w:r>
      <w:r w:rsidRPr="0085354C" w:rsidR="008A2C9B">
        <w:rPr>
          <w:u w:val="single"/>
        </w:rPr>
        <w:t xml:space="preserve">retained </w:t>
      </w:r>
      <w:r w:rsidRPr="0085354C">
        <w:rPr>
          <w:u w:val="single"/>
        </w:rPr>
        <w:t>expert</w:t>
      </w:r>
      <w:r w:rsidRPr="0072795D">
        <w:t xml:space="preserve">, and that a list which </w:t>
      </w:r>
      <w:r w:rsidR="00EF5F5F">
        <w:t xml:space="preserve">combined </w:t>
      </w:r>
      <w:r w:rsidR="0085354C">
        <w:t xml:space="preserve">cases in which Dr. Garcia gave </w:t>
      </w:r>
      <w:r w:rsidR="00EF5F5F">
        <w:t xml:space="preserve">testimony as an expert </w:t>
      </w:r>
      <w:r w:rsidR="0085354C">
        <w:t>with</w:t>
      </w:r>
      <w:r w:rsidR="00EF5F5F">
        <w:t xml:space="preserve"> </w:t>
      </w:r>
      <w:r w:rsidR="0085354C">
        <w:t xml:space="preserve">cases in which Dr. Garcia gave </w:t>
      </w:r>
      <w:r w:rsidR="00EF5F5F">
        <w:t xml:space="preserve">testimony as a </w:t>
      </w:r>
      <w:r w:rsidRPr="0072795D">
        <w:t xml:space="preserve">treating physician did not comply with the </w:t>
      </w:r>
      <w:r w:rsidR="008A2C9B">
        <w:t xml:space="preserve">underlying purpose of the </w:t>
      </w:r>
      <w:r w:rsidRPr="0072795D">
        <w:t xml:space="preserve">rule.  Thus, the court </w:t>
      </w:r>
      <w:r w:rsidRPr="0072795D">
        <w:t xml:space="preserve">found that the rule </w:t>
      </w:r>
      <w:r w:rsidR="008A2C9B">
        <w:t xml:space="preserve">permitted Parks to </w:t>
      </w:r>
      <w:r w:rsidR="00D036E9">
        <w:t xml:space="preserve">discover which of the </w:t>
      </w:r>
      <w:r w:rsidR="00EF5F5F">
        <w:t>individuals listed involved</w:t>
      </w:r>
      <w:r w:rsidR="00D036E9">
        <w:t xml:space="preserve"> cases in which </w:t>
      </w:r>
      <w:r w:rsidR="00EF5F5F">
        <w:t xml:space="preserve">Dr. </w:t>
      </w:r>
      <w:r w:rsidR="00D036E9">
        <w:t>Garcia served as a</w:t>
      </w:r>
      <w:r w:rsidR="00EF5F5F">
        <w:t xml:space="preserve"> retained</w:t>
      </w:r>
      <w:r w:rsidR="00D036E9">
        <w:t xml:space="preserve"> expert (as opposed to </w:t>
      </w:r>
      <w:r w:rsidR="00EF5F5F">
        <w:t>a treating physician</w:t>
      </w:r>
      <w:r w:rsidR="00D036E9">
        <w:t>)</w:t>
      </w:r>
      <w:r w:rsidRPr="0072795D">
        <w:t>.</w:t>
      </w:r>
      <w:r w:rsidR="00D036E9">
        <w:t xml:space="preserve">  </w:t>
      </w:r>
      <w:r w:rsidR="00EF5F5F">
        <w:t>The trial court entered i</w:t>
      </w:r>
      <w:r w:rsidR="00D036E9">
        <w:t xml:space="preserve">ts order overruling </w:t>
      </w:r>
      <w:r w:rsidR="0085354C">
        <w:t>Orthopedic’s</w:t>
      </w:r>
      <w:r w:rsidR="00D036E9">
        <w:t xml:space="preserve"> objection to item one of the </w:t>
      </w:r>
      <w:r w:rsidR="00EF5F5F">
        <w:t>S</w:t>
      </w:r>
      <w:r w:rsidR="00D036E9">
        <w:t>ubpoena</w:t>
      </w:r>
      <w:r w:rsidR="00EF5F5F">
        <w:t xml:space="preserve"> and Orthopedic appealed</w:t>
      </w:r>
      <w:r w:rsidR="00D036E9">
        <w:t>.</w:t>
      </w:r>
      <w:r w:rsidRPr="0072795D">
        <w:t xml:space="preserve"> </w:t>
      </w:r>
    </w:p>
    <w:p w:rsidR="0072795D" w:rsidRPr="00D036E9" w:rsidP="0072795D">
      <w:pPr>
        <w:spacing w:line="480" w:lineRule="auto"/>
        <w:jc w:val="both"/>
        <w:rPr>
          <w:b/>
          <w:u w:val="single"/>
        </w:rPr>
      </w:pPr>
      <w:r w:rsidRPr="0072795D">
        <w:tab/>
      </w:r>
      <w:r w:rsidRPr="00D036E9" w:rsidR="00D036E9">
        <w:rPr>
          <w:b/>
          <w:u w:val="single"/>
        </w:rPr>
        <w:t>ANALYSIS</w:t>
      </w:r>
      <w:r w:rsidRPr="00D036E9">
        <w:rPr>
          <w:b/>
          <w:u w:val="single"/>
        </w:rPr>
        <w:t xml:space="preserve"> </w:t>
      </w:r>
    </w:p>
    <w:p w:rsidR="00D036E9" w:rsidP="0072795D">
      <w:pPr>
        <w:spacing w:line="480" w:lineRule="auto"/>
        <w:ind w:firstLine="720"/>
        <w:jc w:val="both"/>
        <w:rPr>
          <w:rFonts w:eastAsia="ヒラギノ角ゴ Pro W3"/>
          <w:color w:val="000000"/>
          <w:szCs w:val="24"/>
        </w:rPr>
      </w:pPr>
      <w:r>
        <w:rPr>
          <w:rFonts w:eastAsia="ヒラギノ角ゴ Pro W3"/>
          <w:color w:val="000000"/>
          <w:szCs w:val="24"/>
        </w:rPr>
        <w:t xml:space="preserve">A “trial court has broad discretion in determining whether a protective order is warranted under the circumstances.”  </w:t>
      </w:r>
      <w:r w:rsidRPr="0072795D">
        <w:rPr>
          <w:rFonts w:eastAsia="ヒラギノ角ゴ Pro W3"/>
          <w:color w:val="000000"/>
          <w:szCs w:val="24"/>
          <w:u w:val="single"/>
        </w:rPr>
        <w:t>Smith v. S. Baptist Hosp. of Fla.</w:t>
      </w:r>
      <w:r w:rsidRPr="0072795D">
        <w:rPr>
          <w:rFonts w:eastAsia="ヒラギノ角ゴ Pro W3"/>
          <w:color w:val="000000"/>
          <w:szCs w:val="24"/>
        </w:rPr>
        <w:t>, 564 So. 2d 1115, 1118 (Fla. 1</w:t>
      </w:r>
      <w:r w:rsidRPr="0072795D">
        <w:rPr>
          <w:rFonts w:eastAsia="ヒラギノ角ゴ Pro W3"/>
          <w:color w:val="000000"/>
          <w:szCs w:val="24"/>
          <w:vertAlign w:val="superscript"/>
        </w:rPr>
        <w:t>st</w:t>
      </w:r>
      <w:r w:rsidRPr="0072795D">
        <w:rPr>
          <w:rFonts w:eastAsia="ヒラギノ角ゴ Pro W3"/>
          <w:color w:val="000000"/>
          <w:szCs w:val="24"/>
        </w:rPr>
        <w:t xml:space="preserve"> DCA 1990).</w:t>
      </w:r>
      <w:r>
        <w:rPr>
          <w:rFonts w:eastAsia="ヒラギノ角ゴ Pro W3"/>
          <w:color w:val="000000"/>
          <w:szCs w:val="24"/>
        </w:rPr>
        <w:t xml:space="preserve"> </w:t>
      </w:r>
      <w:r w:rsidR="0085354C">
        <w:rPr>
          <w:rFonts w:eastAsia="ヒラギノ角ゴ Pro W3"/>
          <w:color w:val="000000"/>
          <w:szCs w:val="24"/>
        </w:rPr>
        <w:t xml:space="preserve"> Therefore, while the court’s factual findings will not be disturbed absent an abuse of discretion,</w:t>
      </w:r>
      <w:r w:rsidRPr="0072795D" w:rsidR="0085354C">
        <w:rPr>
          <w:rFonts w:eastAsia="ヒラギノ角ゴ Pro W3"/>
          <w:color w:val="000000"/>
          <w:szCs w:val="24"/>
        </w:rPr>
        <w:t xml:space="preserve"> </w:t>
      </w:r>
      <w:r w:rsidRPr="0072795D" w:rsidR="0085354C">
        <w:rPr>
          <w:rFonts w:eastAsia="ヒラギノ角ゴ Pro W3"/>
          <w:color w:val="000000"/>
          <w:szCs w:val="24"/>
          <w:u w:val="single"/>
        </w:rPr>
        <w:t>Alvarez v. Cooper Tire &amp; Rubber Co.</w:t>
      </w:r>
      <w:r w:rsidRPr="0072795D" w:rsidR="0085354C">
        <w:rPr>
          <w:rFonts w:eastAsia="ヒラギノ角ゴ Pro W3"/>
          <w:color w:val="000000"/>
          <w:szCs w:val="24"/>
        </w:rPr>
        <w:t>, 75 So. 3d 789, 793 (Fla. 4</w:t>
      </w:r>
      <w:r w:rsidRPr="0072795D" w:rsidR="0085354C">
        <w:rPr>
          <w:rFonts w:eastAsia="ヒラギノ角ゴ Pro W3"/>
          <w:color w:val="000000"/>
          <w:szCs w:val="24"/>
          <w:vertAlign w:val="superscript"/>
        </w:rPr>
        <w:t>th</w:t>
      </w:r>
      <w:r w:rsidRPr="0072795D" w:rsidR="0085354C">
        <w:rPr>
          <w:rFonts w:eastAsia="ヒラギノ角ゴ Pro W3"/>
          <w:color w:val="000000"/>
          <w:szCs w:val="24"/>
        </w:rPr>
        <w:t xml:space="preserve"> DCA 2011)</w:t>
      </w:r>
      <w:r w:rsidR="0085354C">
        <w:rPr>
          <w:rFonts w:eastAsia="ヒラギノ角ゴ Pro W3"/>
          <w:color w:val="000000"/>
          <w:szCs w:val="24"/>
        </w:rPr>
        <w:t>, w</w:t>
      </w:r>
      <w:r>
        <w:rPr>
          <w:rFonts w:eastAsia="ヒラギノ角ゴ Pro W3"/>
          <w:color w:val="000000"/>
          <w:szCs w:val="24"/>
        </w:rPr>
        <w:t xml:space="preserve">e review </w:t>
      </w:r>
      <w:r w:rsidRPr="0085354C" w:rsidR="0085354C">
        <w:rPr>
          <w:rFonts w:eastAsia="ヒラギノ角ゴ Pro W3"/>
          <w:i/>
          <w:color w:val="000000"/>
          <w:szCs w:val="24"/>
        </w:rPr>
        <w:t>de novo</w:t>
      </w:r>
      <w:r w:rsidR="0085354C">
        <w:rPr>
          <w:rFonts w:eastAsia="ヒラギノ角ゴ Pro W3"/>
          <w:color w:val="000000"/>
          <w:szCs w:val="24"/>
        </w:rPr>
        <w:t xml:space="preserve"> </w:t>
      </w:r>
      <w:r>
        <w:rPr>
          <w:rFonts w:eastAsia="ヒラギノ角ゴ Pro W3"/>
          <w:color w:val="000000"/>
          <w:szCs w:val="24"/>
        </w:rPr>
        <w:t xml:space="preserve">the court’s interpretation </w:t>
      </w:r>
      <w:r w:rsidR="0085354C">
        <w:rPr>
          <w:rFonts w:eastAsia="ヒラギノ角ゴ Pro W3"/>
          <w:color w:val="000000"/>
          <w:szCs w:val="24"/>
        </w:rPr>
        <w:t xml:space="preserve">and application </w:t>
      </w:r>
      <w:r>
        <w:rPr>
          <w:rFonts w:eastAsia="ヒラギノ角ゴ Pro W3"/>
          <w:color w:val="000000"/>
          <w:szCs w:val="24"/>
        </w:rPr>
        <w:t>of</w:t>
      </w:r>
      <w:r w:rsidR="0085354C">
        <w:rPr>
          <w:rFonts w:eastAsia="ヒラギノ角ゴ Pro W3"/>
          <w:color w:val="000000"/>
          <w:szCs w:val="24"/>
        </w:rPr>
        <w:t xml:space="preserve"> Rule 1.280 and section 456.057</w:t>
      </w:r>
      <w:r>
        <w:rPr>
          <w:rFonts w:eastAsia="ヒラギノ角ゴ Pro W3"/>
          <w:color w:val="000000"/>
          <w:szCs w:val="24"/>
        </w:rPr>
        <w:t xml:space="preserve">, </w:t>
      </w:r>
      <w:r w:rsidRPr="0072795D">
        <w:rPr>
          <w:rFonts w:eastAsia="ヒラギノ角ゴ Pro W3"/>
          <w:color w:val="000000"/>
          <w:szCs w:val="24"/>
          <w:u w:val="single"/>
        </w:rPr>
        <w:t>Pino v. Bank of N.Y.</w:t>
      </w:r>
      <w:r w:rsidRPr="0072795D">
        <w:rPr>
          <w:rFonts w:eastAsia="ヒラギノ角ゴ Pro W3"/>
          <w:color w:val="000000"/>
          <w:szCs w:val="24"/>
        </w:rPr>
        <w:t>, 121 So. 3d 23, 31 (Fla. 2013)</w:t>
      </w:r>
    </w:p>
    <w:p w:rsidR="0085354C" w:rsidP="00D036E9">
      <w:pPr>
        <w:spacing w:line="480" w:lineRule="auto"/>
        <w:ind w:firstLine="720"/>
        <w:jc w:val="both"/>
        <w:rPr>
          <w:rFonts w:eastAsia="ヒラギノ角ゴ Pro W3"/>
          <w:color w:val="000000"/>
        </w:rPr>
      </w:pPr>
      <w:r>
        <w:rPr>
          <w:rFonts w:eastAsia="ヒラギノ角ゴ Pro W3"/>
          <w:color w:val="000000"/>
        </w:rPr>
        <w:t xml:space="preserve">On appeal, </w:t>
      </w:r>
      <w:r w:rsidRPr="0072795D" w:rsidR="0072795D">
        <w:rPr>
          <w:rFonts w:eastAsia="ヒラギノ角ゴ Pro W3"/>
          <w:color w:val="000000"/>
        </w:rPr>
        <w:t>O</w:t>
      </w:r>
      <w:r w:rsidR="00D93566">
        <w:rPr>
          <w:rFonts w:eastAsia="ヒラギノ角ゴ Pro W3"/>
          <w:color w:val="000000"/>
        </w:rPr>
        <w:t>rthopedic</w:t>
      </w:r>
      <w:r w:rsidRPr="0072795D" w:rsidR="0072795D">
        <w:rPr>
          <w:rFonts w:eastAsia="ヒラギノ角ゴ Pro W3"/>
          <w:color w:val="000000"/>
        </w:rPr>
        <w:t xml:space="preserve"> contends that Dr. Garcia complied with rule 1.280 </w:t>
      </w:r>
      <w:r w:rsidR="00D036E9">
        <w:rPr>
          <w:rFonts w:eastAsia="ヒラギノ角ゴ Pro W3"/>
          <w:color w:val="000000"/>
        </w:rPr>
        <w:t>and</w:t>
      </w:r>
      <w:r w:rsidRPr="0072795D" w:rsidR="0072795D">
        <w:rPr>
          <w:rFonts w:eastAsia="ヒラギノ角ゴ Pro W3"/>
          <w:color w:val="000000"/>
        </w:rPr>
        <w:t xml:space="preserve"> </w:t>
      </w:r>
      <w:r w:rsidRPr="0072795D" w:rsidR="0072795D">
        <w:rPr>
          <w:rFonts w:eastAsia="ヒラギノ角ゴ Pro W3"/>
          <w:color w:val="000000"/>
          <w:u w:val="single"/>
        </w:rPr>
        <w:t>Elkins</w:t>
      </w:r>
      <w:r>
        <w:rPr>
          <w:rFonts w:eastAsia="ヒラギノ角ゴ Pro W3"/>
          <w:color w:val="000000"/>
        </w:rPr>
        <w:t xml:space="preserve"> </w:t>
      </w:r>
      <w:r w:rsidR="00D036E9">
        <w:rPr>
          <w:rFonts w:eastAsia="ヒラギノ角ゴ Pro W3"/>
          <w:color w:val="000000"/>
        </w:rPr>
        <w:t>by</w:t>
      </w:r>
      <w:r>
        <w:rPr>
          <w:rFonts w:eastAsia="ヒラギノ角ゴ Pro W3"/>
          <w:color w:val="000000"/>
        </w:rPr>
        <w:t>:</w:t>
      </w:r>
    </w:p>
    <w:p w:rsidR="0085354C" w:rsidP="00D036E9">
      <w:pPr>
        <w:spacing w:line="480" w:lineRule="auto"/>
        <w:ind w:firstLine="720"/>
        <w:jc w:val="both"/>
        <w:rPr>
          <w:rFonts w:eastAsia="ヒラギノ角ゴ Pro W3"/>
          <w:color w:val="000000"/>
        </w:rPr>
      </w:pPr>
      <w:r>
        <w:rPr>
          <w:rFonts w:eastAsia="ヒラギノ角ゴ Pro W3"/>
          <w:color w:val="000000"/>
        </w:rPr>
        <w:t>1) P</w:t>
      </w:r>
      <w:r w:rsidRPr="0072795D" w:rsidR="0072795D">
        <w:rPr>
          <w:rFonts w:eastAsia="ヒラギノ角ゴ Pro W3"/>
          <w:color w:val="000000"/>
        </w:rPr>
        <w:t>roduc</w:t>
      </w:r>
      <w:r w:rsidR="00D036E9">
        <w:rPr>
          <w:rFonts w:eastAsia="ヒラギノ角ゴ Pro W3"/>
          <w:color w:val="000000"/>
        </w:rPr>
        <w:t>ing</w:t>
      </w:r>
      <w:r w:rsidRPr="0072795D" w:rsidR="0072795D">
        <w:rPr>
          <w:rFonts w:eastAsia="ヒラギノ角ゴ Pro W3"/>
          <w:color w:val="000000"/>
        </w:rPr>
        <w:t xml:space="preserve"> </w:t>
      </w:r>
      <w:r w:rsidR="00D036E9">
        <w:rPr>
          <w:rFonts w:eastAsia="ヒラギノ角ゴ Pro W3"/>
          <w:color w:val="000000"/>
        </w:rPr>
        <w:t>a</w:t>
      </w:r>
      <w:r w:rsidRPr="0072795D" w:rsidR="0072795D">
        <w:rPr>
          <w:rFonts w:eastAsia="ヒラギノ角ゴ Pro W3"/>
          <w:color w:val="000000"/>
        </w:rPr>
        <w:t xml:space="preserve"> list of </w:t>
      </w:r>
      <w:r w:rsidRPr="00D036E9" w:rsidR="0072795D">
        <w:rPr>
          <w:rFonts w:eastAsia="ヒラギノ角ゴ Pro W3"/>
          <w:color w:val="000000"/>
          <w:u w:val="single"/>
        </w:rPr>
        <w:t>all</w:t>
      </w:r>
      <w:r w:rsidRPr="0072795D" w:rsidR="0072795D">
        <w:rPr>
          <w:rFonts w:eastAsia="ヒラギノ角ゴ Pro W3"/>
          <w:color w:val="000000"/>
        </w:rPr>
        <w:t xml:space="preserve"> cases </w:t>
      </w:r>
      <w:r w:rsidRPr="0072795D">
        <w:rPr>
          <w:rFonts w:eastAsia="ヒラギノ角ゴ Pro W3"/>
          <w:color w:val="000000"/>
        </w:rPr>
        <w:t xml:space="preserve">during </w:t>
      </w:r>
      <w:r>
        <w:rPr>
          <w:rFonts w:eastAsia="ヒラギノ角ゴ Pro W3"/>
          <w:color w:val="000000"/>
        </w:rPr>
        <w:t>the preceding three-year period</w:t>
      </w:r>
      <w:r w:rsidRPr="0072795D">
        <w:rPr>
          <w:rFonts w:eastAsia="ヒラギノ角ゴ Pro W3"/>
          <w:color w:val="000000"/>
        </w:rPr>
        <w:t xml:space="preserve"> </w:t>
      </w:r>
      <w:r w:rsidRPr="0072795D" w:rsidR="0072795D">
        <w:rPr>
          <w:rFonts w:eastAsia="ヒラギノ角ゴ Pro W3"/>
          <w:color w:val="000000"/>
        </w:rPr>
        <w:t>in which he testified either at trial or by deposition</w:t>
      </w:r>
      <w:r w:rsidR="00D036E9">
        <w:rPr>
          <w:rFonts w:eastAsia="ヒラギノ角ゴ Pro W3"/>
          <w:color w:val="000000"/>
        </w:rPr>
        <w:t xml:space="preserve">, </w:t>
      </w:r>
      <w:r>
        <w:rPr>
          <w:rFonts w:eastAsia="ヒラギノ角ゴ Pro W3"/>
          <w:color w:val="000000"/>
        </w:rPr>
        <w:t>either as a</w:t>
      </w:r>
      <w:r w:rsidR="008834D7">
        <w:rPr>
          <w:rFonts w:eastAsia="ヒラギノ角ゴ Pro W3"/>
          <w:color w:val="000000"/>
        </w:rPr>
        <w:t xml:space="preserve"> retained</w:t>
      </w:r>
      <w:r>
        <w:rPr>
          <w:rFonts w:eastAsia="ヒラギノ角ゴ Pro W3"/>
          <w:color w:val="000000"/>
        </w:rPr>
        <w:t xml:space="preserve"> expert witness or a treating physician; </w:t>
      </w:r>
      <w:r w:rsidR="00D036E9">
        <w:rPr>
          <w:rFonts w:eastAsia="ヒラギノ角ゴ Pro W3"/>
          <w:color w:val="000000"/>
        </w:rPr>
        <w:t xml:space="preserve">and </w:t>
      </w:r>
    </w:p>
    <w:p w:rsidR="0085354C" w:rsidP="00D036E9">
      <w:pPr>
        <w:spacing w:line="480" w:lineRule="auto"/>
        <w:ind w:firstLine="720"/>
        <w:jc w:val="both"/>
        <w:rPr>
          <w:rFonts w:eastAsia="ヒラギノ角ゴ Pro W3"/>
          <w:color w:val="000000"/>
        </w:rPr>
      </w:pPr>
      <w:r>
        <w:rPr>
          <w:rFonts w:eastAsia="ヒラギノ角ゴ Pro W3"/>
          <w:color w:val="000000"/>
        </w:rPr>
        <w:t>2) E</w:t>
      </w:r>
      <w:r w:rsidR="00D036E9">
        <w:rPr>
          <w:rFonts w:eastAsia="ヒラギノ角ゴ Pro W3"/>
          <w:color w:val="000000"/>
        </w:rPr>
        <w:t>x</w:t>
      </w:r>
      <w:r w:rsidRPr="0072795D" w:rsidR="0072795D">
        <w:rPr>
          <w:rFonts w:eastAsia="ヒラギノ角ゴ Pro W3"/>
          <w:color w:val="000000"/>
        </w:rPr>
        <w:t>plain</w:t>
      </w:r>
      <w:r w:rsidR="00D036E9">
        <w:rPr>
          <w:rFonts w:eastAsia="ヒラギノ角ゴ Pro W3"/>
          <w:color w:val="000000"/>
        </w:rPr>
        <w:t>ing</w:t>
      </w:r>
      <w:r w:rsidRPr="0072795D" w:rsidR="0072795D">
        <w:rPr>
          <w:rFonts w:eastAsia="ヒラギノ角ゴ Pro W3"/>
          <w:color w:val="000000"/>
        </w:rPr>
        <w:t xml:space="preserve"> his general litigation experience and </w:t>
      </w:r>
      <w:r w:rsidR="00D036E9">
        <w:rPr>
          <w:rFonts w:eastAsia="ヒラギノ角ゴ Pro W3"/>
          <w:color w:val="000000"/>
        </w:rPr>
        <w:t xml:space="preserve">giving </w:t>
      </w:r>
      <w:r w:rsidRPr="0072795D" w:rsidR="0072795D">
        <w:rPr>
          <w:rFonts w:eastAsia="ヒラギノ角ゴ Pro W3"/>
          <w:color w:val="000000"/>
        </w:rPr>
        <w:t xml:space="preserve">an approximation of his work for both defendants and plaintiffs.  </w:t>
      </w:r>
    </w:p>
    <w:p w:rsidR="0072795D" w:rsidRPr="0072795D" w:rsidP="00D036E9">
      <w:pPr>
        <w:spacing w:line="480" w:lineRule="auto"/>
        <w:ind w:firstLine="720"/>
        <w:jc w:val="both"/>
        <w:rPr>
          <w:rFonts w:eastAsia="ヒラギノ角ゴ Pro W3"/>
          <w:color w:val="000000"/>
        </w:rPr>
      </w:pPr>
      <w:r w:rsidRPr="0072795D">
        <w:rPr>
          <w:rFonts w:eastAsia="ヒラギノ角ゴ Pro W3"/>
          <w:color w:val="000000"/>
        </w:rPr>
        <w:t>O</w:t>
      </w:r>
      <w:r w:rsidR="00D93566">
        <w:rPr>
          <w:rFonts w:eastAsia="ヒラギノ角ゴ Pro W3"/>
          <w:color w:val="000000"/>
        </w:rPr>
        <w:t>rthopedic</w:t>
      </w:r>
      <w:r w:rsidRPr="0072795D">
        <w:rPr>
          <w:rFonts w:eastAsia="ヒラギノ角ゴ Pro W3"/>
          <w:color w:val="000000"/>
        </w:rPr>
        <w:t xml:space="preserve"> argue</w:t>
      </w:r>
      <w:r w:rsidR="00D036E9">
        <w:rPr>
          <w:rFonts w:eastAsia="ヒラギノ角ゴ Pro W3"/>
          <w:color w:val="000000"/>
        </w:rPr>
        <w:t>s that further bias-discovery—</w:t>
      </w:r>
      <w:r w:rsidRPr="0072795D">
        <w:rPr>
          <w:rFonts w:eastAsia="ヒラギノ角ゴ Pro W3"/>
          <w:color w:val="000000"/>
        </w:rPr>
        <w:t>in the absence of any suggestion that Dr. Garcia was falsifying, misst</w:t>
      </w:r>
      <w:r w:rsidR="00D036E9">
        <w:rPr>
          <w:rFonts w:eastAsia="ヒラギノ角ゴ Pro W3"/>
          <w:color w:val="000000"/>
        </w:rPr>
        <w:t>ating or obfuscating—</w:t>
      </w:r>
      <w:r w:rsidRPr="0072795D">
        <w:rPr>
          <w:rFonts w:eastAsia="ヒラギノ角ゴ Pro W3"/>
          <w:color w:val="000000"/>
        </w:rPr>
        <w:t>is unau</w:t>
      </w:r>
      <w:r w:rsidR="002A7B30">
        <w:rPr>
          <w:rFonts w:eastAsia="ヒラギノ角ゴ Pro W3"/>
          <w:color w:val="000000"/>
        </w:rPr>
        <w:t>thorized under</w:t>
      </w:r>
      <w:r w:rsidRPr="0072795D">
        <w:rPr>
          <w:rFonts w:eastAsia="ヒラギノ角ゴ Pro W3"/>
          <w:color w:val="000000"/>
        </w:rPr>
        <w:t xml:space="preserve"> rule 1.280 and </w:t>
      </w:r>
      <w:r w:rsidRPr="0072795D">
        <w:rPr>
          <w:rFonts w:eastAsia="ヒラギノ角ゴ Pro W3"/>
          <w:color w:val="000000"/>
          <w:u w:val="single"/>
        </w:rPr>
        <w:t>Elkins</w:t>
      </w:r>
      <w:r w:rsidRPr="0072795D">
        <w:rPr>
          <w:rFonts w:eastAsia="ヒラギノ角ゴ Pro W3"/>
          <w:color w:val="000000"/>
        </w:rPr>
        <w:t>.</w:t>
      </w:r>
      <w:r w:rsidR="00D036E9">
        <w:rPr>
          <w:rFonts w:eastAsia="ヒラギノ角ゴ Pro W3"/>
          <w:color w:val="000000"/>
        </w:rPr>
        <w:t xml:space="preserve">  It further asserts that the ordered discovery violates section 456.057, which protects against the disclosure of patient information.  We </w:t>
      </w:r>
      <w:r w:rsidR="0085354C">
        <w:rPr>
          <w:rFonts w:eastAsia="ヒラギノ角ゴ Pro W3"/>
          <w:color w:val="000000"/>
        </w:rPr>
        <w:t>find neither argument persuasive</w:t>
      </w:r>
      <w:r w:rsidR="00D036E9">
        <w:rPr>
          <w:rFonts w:eastAsia="ヒラギノ角ゴ Pro W3"/>
          <w:color w:val="000000"/>
        </w:rPr>
        <w:t xml:space="preserve">. </w:t>
      </w:r>
    </w:p>
    <w:p w:rsidR="0072795D" w:rsidRPr="009A5577" w:rsidP="0072795D">
      <w:pPr>
        <w:numPr>
          <w:ilvl w:val="0"/>
          <w:numId w:val="12"/>
        </w:numPr>
        <w:spacing w:after="200" w:line="480" w:lineRule="auto"/>
        <w:contextualSpacing/>
        <w:jc w:val="both"/>
        <w:rPr>
          <w:rFonts w:eastAsia="ヒラギノ角ゴ Pro W3"/>
          <w:b/>
          <w:color w:val="000000"/>
          <w:u w:val="single"/>
        </w:rPr>
      </w:pPr>
      <w:r w:rsidRPr="009A5577">
        <w:rPr>
          <w:rFonts w:eastAsia="ヒラギノ角ゴ Pro W3"/>
          <w:b/>
          <w:i/>
          <w:color w:val="000000"/>
          <w:u w:val="single"/>
        </w:rPr>
        <w:t xml:space="preserve">Elkins </w:t>
      </w:r>
      <w:r w:rsidRPr="009A5577">
        <w:rPr>
          <w:rFonts w:eastAsia="ヒラギノ角ゴ Pro W3"/>
          <w:b/>
          <w:color w:val="000000"/>
          <w:u w:val="single"/>
        </w:rPr>
        <w:t>and Rule 1.280</w:t>
      </w:r>
    </w:p>
    <w:p w:rsidR="00124525" w:rsidRPr="0072795D" w:rsidP="00124525">
      <w:pPr>
        <w:spacing w:line="480" w:lineRule="auto"/>
        <w:ind w:firstLine="720"/>
        <w:jc w:val="both"/>
        <w:rPr>
          <w:rFonts w:eastAsia="ヒラギノ角ゴ Pro W3"/>
          <w:color w:val="000000"/>
        </w:rPr>
      </w:pPr>
      <w:r>
        <w:rPr>
          <w:rFonts w:eastAsia="ヒラギノ角ゴ Pro W3"/>
          <w:color w:val="000000"/>
        </w:rPr>
        <w:t xml:space="preserve">With regard to expert </w:t>
      </w:r>
      <w:r w:rsidR="0085354C">
        <w:rPr>
          <w:rFonts w:eastAsia="ヒラギノ角ゴ Pro W3"/>
          <w:color w:val="000000"/>
        </w:rPr>
        <w:t xml:space="preserve">witness </w:t>
      </w:r>
      <w:r>
        <w:rPr>
          <w:rFonts w:eastAsia="ヒラギノ角ゴ Pro W3"/>
          <w:color w:val="000000"/>
        </w:rPr>
        <w:t xml:space="preserve">discovery, Florida </w:t>
      </w:r>
      <w:r w:rsidRPr="0072795D">
        <w:rPr>
          <w:rFonts w:eastAsia="ヒラギノ角ゴ Pro W3"/>
          <w:color w:val="000000"/>
        </w:rPr>
        <w:t>Rule</w:t>
      </w:r>
      <w:r>
        <w:rPr>
          <w:rFonts w:eastAsia="ヒラギノ角ゴ Pro W3"/>
          <w:color w:val="000000"/>
        </w:rPr>
        <w:t xml:space="preserve"> of Civil Procedure</w:t>
      </w:r>
      <w:r w:rsidRPr="0072795D">
        <w:rPr>
          <w:rFonts w:eastAsia="ヒラギノ角ゴ Pro W3"/>
          <w:color w:val="000000"/>
        </w:rPr>
        <w:t xml:space="preserve"> 1.280(b)(5)</w:t>
      </w:r>
      <w:r>
        <w:rPr>
          <w:rFonts w:eastAsia="ヒラギノ角ゴ Pro W3"/>
          <w:color w:val="000000"/>
        </w:rPr>
        <w:t xml:space="preserve">(A)(iii) provides:  </w:t>
      </w:r>
    </w:p>
    <w:p w:rsidR="00124525" w:rsidP="00124525">
      <w:pPr>
        <w:ind w:left="720" w:right="720"/>
        <w:jc w:val="both"/>
        <w:rPr>
          <w:rFonts w:eastAsia="ヒラギノ角ゴ Pro W3"/>
          <w:color w:val="000000"/>
        </w:rPr>
      </w:pPr>
      <w:r w:rsidRPr="0072795D">
        <w:rPr>
          <w:rFonts w:eastAsia="ヒラギノ角ゴ Pro W3"/>
          <w:color w:val="000000"/>
        </w:rPr>
        <w:t>A party may obtain the following discovery regarding any person disclosed by interrogatories or otherwise as a person expected to be called as an expert witness at trial:</w:t>
      </w:r>
    </w:p>
    <w:p w:rsidR="00124525" w:rsidRPr="0072795D" w:rsidP="00124525">
      <w:pPr>
        <w:ind w:left="720" w:right="720"/>
        <w:jc w:val="both"/>
        <w:rPr>
          <w:rFonts w:eastAsia="ヒラギノ角ゴ Pro W3"/>
          <w:color w:val="000000"/>
        </w:rPr>
      </w:pPr>
    </w:p>
    <w:p w:rsidR="00124525" w:rsidRPr="0072795D" w:rsidP="00124525">
      <w:pPr>
        <w:numPr>
          <w:ilvl w:val="0"/>
          <w:numId w:val="14"/>
        </w:numPr>
        <w:spacing w:after="200" w:line="276" w:lineRule="auto"/>
        <w:ind w:right="720"/>
        <w:contextualSpacing/>
        <w:jc w:val="both"/>
        <w:rPr>
          <w:rFonts w:eastAsia="ヒラギノ角ゴ Pro W3"/>
          <w:color w:val="000000"/>
        </w:rPr>
      </w:pPr>
      <w:r w:rsidRPr="0072795D">
        <w:rPr>
          <w:rFonts w:eastAsia="ヒラギノ角ゴ Pro W3"/>
          <w:color w:val="000000"/>
        </w:rPr>
        <w:t xml:space="preserve">The scope of employment in the pending case and the compensation for such service. </w:t>
      </w:r>
    </w:p>
    <w:p w:rsidR="00124525" w:rsidRPr="0072795D" w:rsidP="00124525">
      <w:pPr>
        <w:numPr>
          <w:ilvl w:val="0"/>
          <w:numId w:val="14"/>
        </w:numPr>
        <w:spacing w:after="200" w:line="276" w:lineRule="auto"/>
        <w:ind w:right="720"/>
        <w:contextualSpacing/>
        <w:jc w:val="both"/>
        <w:rPr>
          <w:rFonts w:eastAsia="ヒラギノ角ゴ Pro W3"/>
          <w:color w:val="000000"/>
        </w:rPr>
      </w:pPr>
      <w:r w:rsidRPr="0072795D">
        <w:rPr>
          <w:rFonts w:eastAsia="ヒラギノ角ゴ Pro W3"/>
          <w:color w:val="000000"/>
        </w:rPr>
        <w:t xml:space="preserve">The expert’s general litigation experience, </w:t>
      </w:r>
      <w:r w:rsidRPr="0085354C">
        <w:rPr>
          <w:rFonts w:eastAsia="ヒラギノ角ゴ Pro W3"/>
          <w:b/>
          <w:color w:val="000000"/>
          <w:u w:val="single"/>
        </w:rPr>
        <w:t>including the percentage of work performed for plaintiffs and defendants</w:t>
      </w:r>
      <w:r w:rsidRPr="0072795D">
        <w:rPr>
          <w:rFonts w:eastAsia="ヒラギノ角ゴ Pro W3"/>
          <w:color w:val="000000"/>
        </w:rPr>
        <w:t xml:space="preserve">. </w:t>
      </w:r>
    </w:p>
    <w:p w:rsidR="00124525" w:rsidRPr="0072795D" w:rsidP="00124525">
      <w:pPr>
        <w:numPr>
          <w:ilvl w:val="0"/>
          <w:numId w:val="14"/>
        </w:numPr>
        <w:spacing w:after="200" w:line="276" w:lineRule="auto"/>
        <w:ind w:right="720"/>
        <w:contextualSpacing/>
        <w:jc w:val="both"/>
        <w:rPr>
          <w:rFonts w:eastAsia="ヒラギノ角ゴ Pro W3"/>
          <w:color w:val="000000"/>
        </w:rPr>
      </w:pPr>
      <w:r w:rsidRPr="008834D7">
        <w:rPr>
          <w:rFonts w:eastAsia="ヒラギノ角ゴ Pro W3"/>
          <w:b/>
          <w:color w:val="000000"/>
          <w:u w:val="single"/>
        </w:rPr>
        <w:t>The identity of other cases</w:t>
      </w:r>
      <w:r w:rsidRPr="0072795D">
        <w:rPr>
          <w:rFonts w:eastAsia="ヒラギノ角ゴ Pro W3"/>
          <w:color w:val="000000"/>
        </w:rPr>
        <w:t xml:space="preserve">, within a reasonable time period, </w:t>
      </w:r>
      <w:r w:rsidRPr="008834D7">
        <w:rPr>
          <w:rFonts w:eastAsia="ヒラギノ角ゴ Pro W3"/>
          <w:b/>
          <w:color w:val="000000"/>
          <w:u w:val="single"/>
        </w:rPr>
        <w:t>in which the expert has testified by deposition or at trial</w:t>
      </w:r>
      <w:r w:rsidRPr="0072795D">
        <w:rPr>
          <w:rFonts w:eastAsia="ヒラギノ角ゴ Pro W3"/>
          <w:color w:val="000000"/>
        </w:rPr>
        <w:t xml:space="preserve">. </w:t>
      </w:r>
    </w:p>
    <w:p w:rsidR="00124525" w:rsidRPr="0072795D" w:rsidP="00124525">
      <w:pPr>
        <w:numPr>
          <w:ilvl w:val="0"/>
          <w:numId w:val="14"/>
        </w:numPr>
        <w:spacing w:after="200" w:line="276" w:lineRule="auto"/>
        <w:ind w:right="720"/>
        <w:contextualSpacing/>
        <w:jc w:val="both"/>
        <w:rPr>
          <w:rFonts w:eastAsia="ヒラギノ角ゴ Pro W3"/>
          <w:color w:val="000000"/>
        </w:rPr>
      </w:pPr>
      <w:r w:rsidRPr="0072795D">
        <w:rPr>
          <w:rFonts w:eastAsia="ヒラギノ角ゴ Pro W3"/>
          <w:color w:val="000000"/>
        </w:rPr>
        <w:t xml:space="preserve">An approximation of the portion of the expert’s involvement </w:t>
      </w:r>
      <w:r w:rsidRPr="008D17B3">
        <w:rPr>
          <w:rFonts w:eastAsia="ヒラギノ角ゴ Pro W3"/>
          <w:b/>
          <w:color w:val="000000"/>
          <w:u w:val="single"/>
        </w:rPr>
        <w:t>as an expert witness</w:t>
      </w:r>
      <w:r w:rsidRPr="0072795D">
        <w:rPr>
          <w:rFonts w:eastAsia="ヒラギノ角ゴ Pro W3"/>
          <w:color w:val="000000"/>
        </w:rPr>
        <w:t xml:space="preserve">, which may be based on the number of hours, percentage of hours, or percentage of earned income derived from serving as an expert witness; however, the expert shall not be required to disclose his or her earnings as an expert witness or income derived from other services. </w:t>
      </w:r>
    </w:p>
    <w:p w:rsidR="00124525" w:rsidRPr="0072795D" w:rsidP="00124525">
      <w:pPr>
        <w:jc w:val="both"/>
        <w:rPr>
          <w:rFonts w:eastAsia="ヒラギノ角ゴ Pro W3"/>
          <w:color w:val="000000"/>
        </w:rPr>
      </w:pPr>
    </w:p>
    <w:p w:rsidR="00124525" w:rsidP="00124525">
      <w:pPr>
        <w:spacing w:line="480" w:lineRule="auto"/>
        <w:ind w:firstLine="720"/>
        <w:jc w:val="both"/>
        <w:rPr>
          <w:rFonts w:eastAsia="ヒラギノ角ゴ Pro W3"/>
          <w:color w:val="000000"/>
        </w:rPr>
      </w:pPr>
      <w:r>
        <w:rPr>
          <w:rFonts w:eastAsia="ヒラギノ角ゴ Pro W3"/>
          <w:color w:val="000000"/>
        </w:rPr>
        <w:t xml:space="preserve">(Emphasis added).  </w:t>
      </w:r>
    </w:p>
    <w:p w:rsidR="00124525" w:rsidRPr="0072795D" w:rsidP="00124525">
      <w:pPr>
        <w:spacing w:line="480" w:lineRule="auto"/>
        <w:ind w:firstLine="720"/>
        <w:jc w:val="both"/>
        <w:rPr>
          <w:rFonts w:eastAsia="ヒラギノ角ゴ Pro W3"/>
          <w:color w:val="000000"/>
        </w:rPr>
      </w:pPr>
      <w:r w:rsidRPr="0072795D">
        <w:rPr>
          <w:rFonts w:eastAsia="ヒラギノ角ゴ Pro W3"/>
          <w:color w:val="000000"/>
        </w:rPr>
        <w:t xml:space="preserve">In </w:t>
      </w:r>
      <w:r w:rsidRPr="0072795D">
        <w:rPr>
          <w:rFonts w:eastAsia="ヒラギノ角ゴ Pro W3"/>
          <w:color w:val="000000"/>
          <w:u w:val="single"/>
        </w:rPr>
        <w:t>Elkins</w:t>
      </w:r>
      <w:r>
        <w:rPr>
          <w:rFonts w:eastAsia="ヒラギノ角ゴ Pro W3"/>
          <w:color w:val="000000"/>
        </w:rPr>
        <w:t xml:space="preserve">, </w:t>
      </w:r>
      <w:r w:rsidRPr="0072795D">
        <w:rPr>
          <w:rFonts w:eastAsia="ヒラギノ角ゴ Pro W3"/>
          <w:color w:val="000000"/>
        </w:rPr>
        <w:t xml:space="preserve">672 So. 2d </w:t>
      </w:r>
      <w:r>
        <w:rPr>
          <w:rFonts w:eastAsia="ヒラギノ角ゴ Pro W3"/>
          <w:color w:val="000000"/>
        </w:rPr>
        <w:t xml:space="preserve">at 521, </w:t>
      </w:r>
      <w:r w:rsidRPr="0072795D">
        <w:rPr>
          <w:rFonts w:eastAsia="ヒラギノ角ゴ Pro W3"/>
          <w:color w:val="000000"/>
        </w:rPr>
        <w:t xml:space="preserve">the Florida Supreme Court approved this Court’s </w:t>
      </w:r>
      <w:r w:rsidR="008834D7">
        <w:rPr>
          <w:rFonts w:eastAsia="ヒラギノ角ゴ Pro W3"/>
          <w:color w:val="000000"/>
        </w:rPr>
        <w:t>decision</w:t>
      </w:r>
      <w:r w:rsidRPr="0072795D">
        <w:rPr>
          <w:rFonts w:eastAsia="ヒラギノ角ゴ Pro W3"/>
          <w:color w:val="000000"/>
        </w:rPr>
        <w:t xml:space="preserve"> in </w:t>
      </w:r>
      <w:r w:rsidRPr="0072795D">
        <w:rPr>
          <w:rFonts w:eastAsia="ヒラギノ角ゴ Pro W3"/>
          <w:color w:val="000000"/>
          <w:u w:val="single"/>
        </w:rPr>
        <w:t>Syken v. Elkins</w:t>
      </w:r>
      <w:r w:rsidRPr="0072795D">
        <w:rPr>
          <w:rFonts w:eastAsia="ヒラギノ角ゴ Pro W3"/>
          <w:color w:val="000000"/>
        </w:rPr>
        <w:t>, 644 So. 2d 539 (Fla. 3d DCA 1994)</w:t>
      </w:r>
      <w:r>
        <w:rPr>
          <w:rFonts w:eastAsia="ヒラギノ角ゴ Pro W3"/>
          <w:color w:val="000000"/>
        </w:rPr>
        <w:t xml:space="preserve">, and adopted the </w:t>
      </w:r>
      <w:r>
        <w:rPr>
          <w:rFonts w:eastAsia="ヒラギノ角ゴ Pro W3"/>
          <w:color w:val="000000"/>
        </w:rPr>
        <w:t>district court’s established criteria governing the discovery of financial information from expert witnesses:</w:t>
      </w:r>
    </w:p>
    <w:p w:rsidR="00124525" w:rsidRPr="0072795D" w:rsidP="00124525">
      <w:pPr>
        <w:numPr>
          <w:ilvl w:val="0"/>
          <w:numId w:val="13"/>
        </w:numPr>
        <w:spacing w:after="200" w:line="276" w:lineRule="auto"/>
        <w:contextualSpacing/>
        <w:jc w:val="both"/>
        <w:rPr>
          <w:rFonts w:eastAsia="ヒラギノ角ゴ Pro W3"/>
          <w:color w:val="000000"/>
        </w:rPr>
      </w:pPr>
      <w:r w:rsidRPr="0072795D">
        <w:rPr>
          <w:rFonts w:eastAsia="ヒラギノ角ゴ Pro W3"/>
          <w:color w:val="000000"/>
        </w:rPr>
        <w:t xml:space="preserve">The medical expert may be deposed either orally or by written deposition. </w:t>
      </w:r>
    </w:p>
    <w:p w:rsidR="00124525" w:rsidRPr="0072795D" w:rsidP="00124525">
      <w:pPr>
        <w:numPr>
          <w:ilvl w:val="0"/>
          <w:numId w:val="13"/>
        </w:numPr>
        <w:spacing w:after="200" w:line="276" w:lineRule="auto"/>
        <w:contextualSpacing/>
        <w:jc w:val="both"/>
        <w:rPr>
          <w:rFonts w:eastAsia="ヒラギノ角ゴ Pro W3"/>
          <w:color w:val="000000"/>
        </w:rPr>
      </w:pPr>
      <w:r w:rsidRPr="0072795D">
        <w:rPr>
          <w:rFonts w:eastAsia="ヒラギノ角ゴ Pro W3"/>
          <w:color w:val="000000"/>
        </w:rPr>
        <w:t xml:space="preserve">The expert may be asked as to the pending case, what he or she has been hired to do and what the compensation is to be. </w:t>
      </w:r>
    </w:p>
    <w:p w:rsidR="00124525" w:rsidRPr="0072795D" w:rsidP="00124525">
      <w:pPr>
        <w:numPr>
          <w:ilvl w:val="0"/>
          <w:numId w:val="13"/>
        </w:numPr>
        <w:spacing w:after="200" w:line="276" w:lineRule="auto"/>
        <w:contextualSpacing/>
        <w:jc w:val="both"/>
        <w:rPr>
          <w:rFonts w:eastAsia="ヒラギノ角ゴ Pro W3"/>
          <w:color w:val="000000"/>
        </w:rPr>
      </w:pPr>
      <w:r w:rsidRPr="0072795D">
        <w:rPr>
          <w:rFonts w:eastAsia="ヒラギノ角ゴ Pro W3"/>
          <w:color w:val="000000"/>
        </w:rPr>
        <w:t xml:space="preserve">The expert may be asked what </w:t>
      </w:r>
      <w:r w:rsidRPr="008834D7">
        <w:rPr>
          <w:rFonts w:eastAsia="ヒラギノ角ゴ Pro W3"/>
          <w:b/>
          <w:color w:val="000000"/>
          <w:u w:val="single"/>
        </w:rPr>
        <w:t>expert work he or she generally does</w:t>
      </w:r>
      <w:r w:rsidRPr="0072795D">
        <w:rPr>
          <w:rFonts w:eastAsia="ヒラギノ角ゴ Pro W3"/>
          <w:color w:val="000000"/>
        </w:rPr>
        <w:t xml:space="preserve">.  </w:t>
      </w:r>
      <w:r w:rsidRPr="008834D7">
        <w:rPr>
          <w:rFonts w:eastAsia="ヒラギノ角ゴ Pro W3"/>
          <w:b/>
          <w:color w:val="000000"/>
          <w:u w:val="single"/>
        </w:rPr>
        <w:t>Is the work performed for the plaintiffs, defendants, or some percentage of each</w:t>
      </w:r>
      <w:r w:rsidRPr="0072795D">
        <w:rPr>
          <w:rFonts w:eastAsia="ヒラギノ角ゴ Pro W3"/>
          <w:color w:val="000000"/>
        </w:rPr>
        <w:t>?</w:t>
      </w:r>
    </w:p>
    <w:p w:rsidR="00124525" w:rsidRPr="0072795D" w:rsidP="00124525">
      <w:pPr>
        <w:numPr>
          <w:ilvl w:val="0"/>
          <w:numId w:val="13"/>
        </w:numPr>
        <w:spacing w:after="200" w:line="276" w:lineRule="auto"/>
        <w:contextualSpacing/>
        <w:jc w:val="both"/>
        <w:rPr>
          <w:rFonts w:eastAsia="ヒラギノ角ゴ Pro W3"/>
          <w:color w:val="000000"/>
        </w:rPr>
      </w:pPr>
      <w:r w:rsidRPr="0072795D">
        <w:rPr>
          <w:rFonts w:eastAsia="ヒラギノ角ゴ Pro W3"/>
          <w:color w:val="000000"/>
        </w:rPr>
        <w:t xml:space="preserve">The expert may be asked to give an approximation of the portion of their professional time or work devoted to service </w:t>
      </w:r>
      <w:r w:rsidRPr="00B02949">
        <w:rPr>
          <w:rFonts w:eastAsia="ヒラギノ角ゴ Pro W3"/>
          <w:b/>
          <w:color w:val="000000"/>
          <w:u w:val="single"/>
        </w:rPr>
        <w:t>as an expert</w:t>
      </w:r>
      <w:r w:rsidRPr="0072795D">
        <w:rPr>
          <w:rFonts w:eastAsia="ヒラギノ角ゴ Pro W3"/>
          <w:color w:val="000000"/>
        </w:rPr>
        <w:t xml:space="preserve">.  This can be a fair estimate of some reasonable and truthful component of that work, such as hours expended, or percentage of income earned from that source, or the approximate number of IME’s that he or she performs in one year.  The expert need not answer how much money he or she earns as an expert or how much the expert’s total annual income is. </w:t>
      </w:r>
    </w:p>
    <w:p w:rsidR="00124525" w:rsidRPr="0072795D" w:rsidP="00124525">
      <w:pPr>
        <w:numPr>
          <w:ilvl w:val="0"/>
          <w:numId w:val="13"/>
        </w:numPr>
        <w:spacing w:after="200" w:line="276" w:lineRule="auto"/>
        <w:contextualSpacing/>
        <w:jc w:val="both"/>
        <w:rPr>
          <w:rFonts w:eastAsia="ヒラギノ角ゴ Pro W3"/>
          <w:color w:val="000000"/>
        </w:rPr>
      </w:pPr>
      <w:r w:rsidRPr="0072795D">
        <w:rPr>
          <w:rFonts w:eastAsia="ヒラギノ角ゴ Pro W3"/>
          <w:color w:val="000000"/>
        </w:rPr>
        <w:t xml:space="preserve">The expert may be required to identify specifically </w:t>
      </w:r>
      <w:r w:rsidRPr="008834D7">
        <w:rPr>
          <w:rFonts w:eastAsia="ヒラギノ角ゴ Pro W3"/>
          <w:b/>
          <w:color w:val="000000"/>
          <w:u w:val="single"/>
        </w:rPr>
        <w:t>each case in which he or she has actually testified, whether by deposition or at trial</w:t>
      </w:r>
      <w:r w:rsidRPr="0072795D">
        <w:rPr>
          <w:rFonts w:eastAsia="ヒラギノ角ゴ Pro W3"/>
          <w:color w:val="000000"/>
        </w:rPr>
        <w:t xml:space="preserve">, going back a reasonable period of time, which is normally three years.  A longer period of time may be inquired into under some circumstances. </w:t>
      </w:r>
    </w:p>
    <w:p w:rsidR="00124525" w:rsidRPr="0072795D" w:rsidP="00124525">
      <w:pPr>
        <w:numPr>
          <w:ilvl w:val="0"/>
          <w:numId w:val="13"/>
        </w:numPr>
        <w:spacing w:after="200" w:line="276" w:lineRule="auto"/>
        <w:contextualSpacing/>
        <w:jc w:val="both"/>
        <w:rPr>
          <w:rFonts w:eastAsia="ヒラギノ角ゴ Pro W3"/>
          <w:color w:val="000000"/>
        </w:rPr>
      </w:pPr>
      <w:r w:rsidRPr="0072795D">
        <w:rPr>
          <w:rFonts w:eastAsia="ヒラギノ角ゴ Pro W3"/>
          <w:color w:val="000000"/>
        </w:rPr>
        <w:t xml:space="preserve">The production of the expert’s business records, files, and 1099’s may be ordered produced only upon the most unusual or compelling circumstance. </w:t>
      </w:r>
    </w:p>
    <w:p w:rsidR="00124525" w:rsidRPr="0072795D" w:rsidP="00124525">
      <w:pPr>
        <w:numPr>
          <w:ilvl w:val="0"/>
          <w:numId w:val="13"/>
        </w:numPr>
        <w:spacing w:after="200" w:line="276" w:lineRule="auto"/>
        <w:contextualSpacing/>
        <w:jc w:val="both"/>
        <w:rPr>
          <w:rFonts w:eastAsia="ヒラギノ角ゴ Pro W3"/>
          <w:color w:val="000000"/>
        </w:rPr>
      </w:pPr>
      <w:r w:rsidRPr="0072795D">
        <w:rPr>
          <w:rFonts w:eastAsia="ヒラギノ角ゴ Pro W3"/>
          <w:color w:val="000000"/>
        </w:rPr>
        <w:t xml:space="preserve">The patient’s privacy must be observed.   </w:t>
      </w:r>
    </w:p>
    <w:p w:rsidR="00124525" w:rsidRPr="0072795D" w:rsidP="00124525">
      <w:pPr>
        <w:numPr>
          <w:ilvl w:val="0"/>
          <w:numId w:val="13"/>
        </w:numPr>
        <w:spacing w:after="200" w:line="276" w:lineRule="auto"/>
        <w:contextualSpacing/>
        <w:jc w:val="both"/>
        <w:rPr>
          <w:rFonts w:eastAsia="ヒラギノ角ゴ Pro W3"/>
          <w:color w:val="000000"/>
        </w:rPr>
      </w:pPr>
      <w:r w:rsidRPr="0072795D">
        <w:rPr>
          <w:rFonts w:eastAsia="ヒラギノ角ゴ Pro W3"/>
          <w:color w:val="000000"/>
        </w:rPr>
        <w:t xml:space="preserve">An expert may not be compelled to compile or produce nonexistent documents. </w:t>
      </w:r>
    </w:p>
    <w:p w:rsidR="00124525" w:rsidRPr="0072795D" w:rsidP="00124525">
      <w:pPr>
        <w:jc w:val="both"/>
        <w:rPr>
          <w:rFonts w:eastAsia="ヒラギノ角ゴ Pro W3"/>
          <w:color w:val="000000"/>
        </w:rPr>
      </w:pPr>
      <w:r w:rsidRPr="0072795D">
        <w:rPr>
          <w:rFonts w:eastAsia="ヒラギノ角ゴ Pro W3"/>
          <w:color w:val="000000"/>
        </w:rPr>
        <w:t xml:space="preserve"> </w:t>
      </w:r>
    </w:p>
    <w:p w:rsidR="00124525" w:rsidRPr="0072795D" w:rsidP="00124525">
      <w:pPr>
        <w:jc w:val="both"/>
        <w:rPr>
          <w:rFonts w:eastAsia="ヒラギノ角ゴ Pro W3"/>
          <w:color w:val="000000"/>
        </w:rPr>
      </w:pPr>
      <w:r w:rsidRPr="0072795D">
        <w:rPr>
          <w:rFonts w:eastAsia="ヒラギノ角ゴ Pro W3"/>
          <w:color w:val="000000"/>
          <w:u w:val="single"/>
        </w:rPr>
        <w:t>Id.</w:t>
      </w:r>
      <w:r>
        <w:rPr>
          <w:rFonts w:eastAsia="ヒラギノ角ゴ Pro W3"/>
          <w:color w:val="000000"/>
        </w:rPr>
        <w:t xml:space="preserve"> at 546</w:t>
      </w:r>
      <w:r w:rsidRPr="0072795D">
        <w:rPr>
          <w:rFonts w:eastAsia="ヒラギノ角ゴ Pro W3"/>
          <w:color w:val="000000"/>
        </w:rPr>
        <w:t xml:space="preserve"> </w:t>
      </w:r>
      <w:r>
        <w:rPr>
          <w:rFonts w:eastAsia="ヒラギノ角ゴ Pro W3"/>
          <w:color w:val="000000"/>
        </w:rPr>
        <w:t>(emphasis added).</w:t>
      </w:r>
      <w:r>
        <w:rPr>
          <w:rStyle w:val="FootnoteReference"/>
          <w:rFonts w:eastAsia="ヒラギノ角ゴ Pro W3"/>
          <w:color w:val="000000"/>
        </w:rPr>
        <w:footnoteReference w:id="5"/>
      </w:r>
      <w:r>
        <w:rPr>
          <w:rFonts w:eastAsia="ヒラギノ角ゴ Pro W3"/>
          <w:color w:val="000000"/>
        </w:rPr>
        <w:t xml:space="preserve">  </w:t>
      </w:r>
    </w:p>
    <w:p w:rsidR="00124525" w:rsidRPr="0072795D" w:rsidP="00124525">
      <w:pPr>
        <w:jc w:val="both"/>
        <w:rPr>
          <w:rFonts w:eastAsia="ヒラギノ角ゴ Pro W3"/>
          <w:color w:val="000000"/>
        </w:rPr>
      </w:pPr>
    </w:p>
    <w:p w:rsidR="00124525" w:rsidP="00124525">
      <w:pPr>
        <w:spacing w:line="480" w:lineRule="auto"/>
        <w:ind w:firstLine="720"/>
        <w:jc w:val="both"/>
        <w:rPr>
          <w:rFonts w:eastAsia="ヒラギノ角ゴ Pro W3"/>
          <w:color w:val="000000"/>
        </w:rPr>
      </w:pPr>
      <w:r>
        <w:rPr>
          <w:rFonts w:eastAsia="ヒラギノ角ゴ Pro W3"/>
          <w:color w:val="000000"/>
        </w:rPr>
        <w:t>Importantly, the Florida Supreme Court found “</w:t>
      </w:r>
      <w:r w:rsidRPr="0072795D">
        <w:rPr>
          <w:rFonts w:eastAsia="ヒラギノ角ゴ Pro W3"/>
          <w:color w:val="000000"/>
        </w:rPr>
        <w:t xml:space="preserve">that the district court’s opinion strikes a reasonable balance between a party’s need for information covering </w:t>
      </w:r>
      <w:r w:rsidRPr="0072795D">
        <w:rPr>
          <w:rFonts w:eastAsia="ヒラギノ角ゴ Pro W3"/>
          <w:color w:val="000000"/>
        </w:rPr>
        <w:t xml:space="preserve">an expert witness’s potential bias and the witness’s right to be free from burdensome and intrusive production requests.”  </w:t>
      </w:r>
      <w:r w:rsidRPr="0072795D">
        <w:rPr>
          <w:rFonts w:eastAsia="ヒラギノ角ゴ Pro W3"/>
          <w:color w:val="000000"/>
          <w:u w:val="single"/>
        </w:rPr>
        <w:t>Elkins</w:t>
      </w:r>
      <w:r w:rsidRPr="0072795D">
        <w:rPr>
          <w:rFonts w:eastAsia="ヒラギノ角ゴ Pro W3"/>
          <w:color w:val="000000"/>
        </w:rPr>
        <w:t xml:space="preserve">, 672 So. 2d at 522.  </w:t>
      </w:r>
    </w:p>
    <w:p w:rsidR="00124525" w:rsidP="00124525">
      <w:pPr>
        <w:spacing w:line="480" w:lineRule="auto"/>
        <w:ind w:firstLine="720"/>
        <w:jc w:val="both"/>
        <w:rPr>
          <w:rFonts w:eastAsia="ヒラギノ角ゴ Pro W3"/>
          <w:color w:val="000000"/>
        </w:rPr>
      </w:pPr>
      <w:r>
        <w:rPr>
          <w:rFonts w:eastAsia="ヒラギノ角ゴ Pro W3"/>
          <w:color w:val="000000"/>
        </w:rPr>
        <w:t>Thus, b</w:t>
      </w:r>
      <w:r w:rsidRPr="0072795D">
        <w:rPr>
          <w:rFonts w:eastAsia="ヒラギノ角ゴ Pro W3"/>
          <w:color w:val="000000"/>
        </w:rPr>
        <w:t xml:space="preserve">oth </w:t>
      </w:r>
      <w:r w:rsidRPr="0072795D">
        <w:rPr>
          <w:rFonts w:eastAsia="ヒラギノ角ゴ Pro W3"/>
          <w:color w:val="000000"/>
          <w:u w:val="single"/>
        </w:rPr>
        <w:t>Elkins</w:t>
      </w:r>
      <w:r w:rsidRPr="0072795D">
        <w:rPr>
          <w:rFonts w:eastAsia="ヒラギノ角ゴ Pro W3"/>
          <w:color w:val="000000"/>
        </w:rPr>
        <w:t xml:space="preserve"> and rule 1.280</w:t>
      </w:r>
      <w:r>
        <w:rPr>
          <w:rFonts w:eastAsia="ヒラギノ角ゴ Pro W3"/>
          <w:color w:val="000000"/>
        </w:rPr>
        <w:t xml:space="preserve"> focus on the discovery t</w:t>
      </w:r>
      <w:r w:rsidR="008834D7">
        <w:rPr>
          <w:rFonts w:eastAsia="ヒラギノ角ゴ Pro W3"/>
          <w:color w:val="000000"/>
        </w:rPr>
        <w:t>o</w:t>
      </w:r>
      <w:r>
        <w:rPr>
          <w:rFonts w:eastAsia="ヒラギノ角ゴ Pro W3"/>
          <w:color w:val="000000"/>
        </w:rPr>
        <w:t xml:space="preserve"> </w:t>
      </w:r>
      <w:r w:rsidR="008821C0">
        <w:rPr>
          <w:rFonts w:eastAsia="ヒラギノ角ゴ Pro W3"/>
          <w:color w:val="000000"/>
        </w:rPr>
        <w:t xml:space="preserve">be </w:t>
      </w:r>
      <w:r>
        <w:rPr>
          <w:rFonts w:eastAsia="ヒラギノ角ゴ Pro W3"/>
          <w:color w:val="000000"/>
        </w:rPr>
        <w:t>provide</w:t>
      </w:r>
      <w:r w:rsidR="008821C0">
        <w:rPr>
          <w:rFonts w:eastAsia="ヒラギノ角ゴ Pro W3"/>
          <w:color w:val="000000"/>
        </w:rPr>
        <w:t>d</w:t>
      </w:r>
      <w:r>
        <w:rPr>
          <w:rFonts w:eastAsia="ヒラギノ角ゴ Pro W3"/>
          <w:color w:val="000000"/>
        </w:rPr>
        <w:t xml:space="preserve"> by “the expert,” and require “the expert” </w:t>
      </w:r>
      <w:r w:rsidRPr="0072795D">
        <w:rPr>
          <w:rFonts w:eastAsia="ヒラギノ角ゴ Pro W3"/>
          <w:color w:val="000000"/>
        </w:rPr>
        <w:t>to specifically identify</w:t>
      </w:r>
      <w:r w:rsidR="0085354C">
        <w:rPr>
          <w:rFonts w:eastAsia="ヒラギノ角ゴ Pro W3"/>
          <w:color w:val="000000"/>
        </w:rPr>
        <w:t xml:space="preserve"> those cases</w:t>
      </w:r>
      <w:r w:rsidRPr="0072795D">
        <w:rPr>
          <w:rFonts w:eastAsia="ヒラギノ角ゴ Pro W3"/>
          <w:color w:val="000000"/>
        </w:rPr>
        <w:t xml:space="preserve"> </w:t>
      </w:r>
      <w:r>
        <w:rPr>
          <w:rFonts w:eastAsia="ヒラギノ角ゴ Pro W3"/>
          <w:color w:val="000000"/>
        </w:rPr>
        <w:t xml:space="preserve">in </w:t>
      </w:r>
      <w:r w:rsidRPr="0072795D">
        <w:rPr>
          <w:rFonts w:eastAsia="ヒラギノ角ゴ Pro W3"/>
          <w:color w:val="000000"/>
        </w:rPr>
        <w:t xml:space="preserve">which he has testified by deposition or trial.  </w:t>
      </w:r>
      <w:r>
        <w:rPr>
          <w:rFonts w:eastAsia="ヒラギノ角ゴ Pro W3"/>
          <w:color w:val="000000"/>
        </w:rPr>
        <w:t xml:space="preserve">It logically follows </w:t>
      </w:r>
      <w:r w:rsidR="0085354C">
        <w:rPr>
          <w:rFonts w:eastAsia="ヒラギノ角ゴ Pro W3"/>
          <w:color w:val="000000"/>
        </w:rPr>
        <w:t xml:space="preserve">from this </w:t>
      </w:r>
      <w:r>
        <w:rPr>
          <w:rFonts w:eastAsia="ヒラギノ角ゴ Pro W3"/>
          <w:color w:val="000000"/>
        </w:rPr>
        <w:t>that a party is entitled to discover th</w:t>
      </w:r>
      <w:r w:rsidR="00120D8F">
        <w:rPr>
          <w:rFonts w:eastAsia="ヒラギノ角ゴ Pro W3"/>
          <w:color w:val="000000"/>
        </w:rPr>
        <w:t>ose</w:t>
      </w:r>
      <w:r>
        <w:rPr>
          <w:rFonts w:eastAsia="ヒラギノ角ゴ Pro W3"/>
          <w:color w:val="000000"/>
        </w:rPr>
        <w:t xml:space="preserve"> </w:t>
      </w:r>
      <w:r w:rsidR="00120D8F">
        <w:rPr>
          <w:rFonts w:eastAsia="ヒラギノ角ゴ Pro W3"/>
          <w:color w:val="000000"/>
        </w:rPr>
        <w:t xml:space="preserve">cases in which </w:t>
      </w:r>
      <w:r w:rsidR="0085354C">
        <w:rPr>
          <w:rFonts w:eastAsia="ヒラギノ角ゴ Pro W3"/>
          <w:color w:val="000000"/>
        </w:rPr>
        <w:t>the expert</w:t>
      </w:r>
      <w:r w:rsidR="00120D8F">
        <w:rPr>
          <w:rFonts w:eastAsia="ヒラギノ角ゴ Pro W3"/>
          <w:color w:val="000000"/>
        </w:rPr>
        <w:t xml:space="preserve"> testified </w:t>
      </w:r>
      <w:r w:rsidRPr="0085354C">
        <w:rPr>
          <w:rFonts w:eastAsia="ヒラギノ角ゴ Pro W3"/>
          <w:b/>
          <w:color w:val="000000"/>
          <w:u w:val="single"/>
        </w:rPr>
        <w:t>as an expert</w:t>
      </w:r>
      <w:r>
        <w:rPr>
          <w:rFonts w:eastAsia="ヒラギノ角ゴ Pro W3"/>
          <w:color w:val="000000"/>
        </w:rPr>
        <w:t xml:space="preserve">.  In fact, the </w:t>
      </w:r>
      <w:r w:rsidR="008834D7">
        <w:rPr>
          <w:rFonts w:eastAsia="ヒラギノ角ゴ Pro W3"/>
          <w:color w:val="000000"/>
        </w:rPr>
        <w:t>third</w:t>
      </w:r>
      <w:r>
        <w:rPr>
          <w:rFonts w:eastAsia="ヒラギノ角ゴ Pro W3"/>
          <w:color w:val="000000"/>
        </w:rPr>
        <w:t xml:space="preserve"> and fourth criteria identified in </w:t>
      </w:r>
      <w:r w:rsidRPr="00B02949">
        <w:rPr>
          <w:rFonts w:eastAsia="ヒラギノ角ゴ Pro W3"/>
          <w:color w:val="000000"/>
          <w:u w:val="single"/>
        </w:rPr>
        <w:t>Elkins</w:t>
      </w:r>
      <w:r>
        <w:rPr>
          <w:rFonts w:eastAsia="ヒラギノ角ゴ Pro W3"/>
          <w:color w:val="000000"/>
        </w:rPr>
        <w:t xml:space="preserve"> </w:t>
      </w:r>
      <w:r w:rsidR="008834D7">
        <w:rPr>
          <w:rFonts w:eastAsia="ヒラギノ角ゴ Pro W3"/>
          <w:color w:val="000000"/>
        </w:rPr>
        <w:t xml:space="preserve">(and the second and fourth criteria set forth in the rule) expressly </w:t>
      </w:r>
      <w:r>
        <w:rPr>
          <w:rFonts w:eastAsia="ヒラギノ角ゴ Pro W3"/>
          <w:color w:val="000000"/>
        </w:rPr>
        <w:t xml:space="preserve">contemplate such discovery.  Though Dr. Garcia provided an expansive list of persons or cases in which he testified by deposition or trial, </w:t>
      </w:r>
      <w:r w:rsidR="00120D8F">
        <w:rPr>
          <w:rFonts w:eastAsia="ヒラギノ角ゴ Pro W3"/>
          <w:color w:val="000000"/>
        </w:rPr>
        <w:t>covering testimony provided both as a</w:t>
      </w:r>
      <w:r w:rsidR="008834D7">
        <w:rPr>
          <w:rFonts w:eastAsia="ヒラギノ角ゴ Pro W3"/>
          <w:color w:val="000000"/>
        </w:rPr>
        <w:t xml:space="preserve"> retained</w:t>
      </w:r>
      <w:r w:rsidR="00120D8F">
        <w:rPr>
          <w:rFonts w:eastAsia="ヒラギノ角ゴ Pro W3"/>
          <w:color w:val="000000"/>
        </w:rPr>
        <w:t xml:space="preserve"> expert and as a treating physician, he was unable to differentiate</w:t>
      </w:r>
      <w:r>
        <w:rPr>
          <w:rFonts w:eastAsia="ヒラギノ角ゴ Pro W3"/>
          <w:color w:val="000000"/>
        </w:rPr>
        <w:t xml:space="preserve"> </w:t>
      </w:r>
      <w:r w:rsidR="00120D8F">
        <w:rPr>
          <w:rFonts w:eastAsia="ヒラギノ角ゴ Pro W3"/>
          <w:color w:val="000000"/>
        </w:rPr>
        <w:t xml:space="preserve">those </w:t>
      </w:r>
      <w:r>
        <w:rPr>
          <w:rFonts w:eastAsia="ヒラギノ角ゴ Pro W3"/>
          <w:color w:val="000000"/>
        </w:rPr>
        <w:t xml:space="preserve">cases in which he testified “as an expert” </w:t>
      </w:r>
      <w:r w:rsidR="00120D8F">
        <w:rPr>
          <w:rFonts w:eastAsia="ヒラギノ角ゴ Pro W3"/>
          <w:color w:val="000000"/>
        </w:rPr>
        <w:t>from those cases in which he testified as a treating physician</w:t>
      </w:r>
      <w:r>
        <w:rPr>
          <w:rFonts w:eastAsia="ヒラギノ角ゴ Pro W3"/>
          <w:color w:val="000000"/>
        </w:rPr>
        <w:t xml:space="preserve">.  </w:t>
      </w:r>
      <w:r w:rsidR="008834D7">
        <w:rPr>
          <w:rFonts w:eastAsia="ヒラギノ角ゴ Pro W3"/>
          <w:color w:val="000000"/>
        </w:rPr>
        <w:t>Such a</w:t>
      </w:r>
      <w:r>
        <w:rPr>
          <w:rFonts w:eastAsia="ヒラギノ角ゴ Pro W3"/>
          <w:color w:val="000000"/>
        </w:rPr>
        <w:t xml:space="preserve"> </w:t>
      </w:r>
      <w:r w:rsidR="008834D7">
        <w:rPr>
          <w:rFonts w:eastAsia="ヒラギノ角ゴ Pro W3"/>
          <w:color w:val="000000"/>
        </w:rPr>
        <w:t xml:space="preserve">distinction </w:t>
      </w:r>
      <w:r>
        <w:rPr>
          <w:rFonts w:eastAsia="ヒラギノ角ゴ Pro W3"/>
          <w:color w:val="000000"/>
        </w:rPr>
        <w:t xml:space="preserve">is </w:t>
      </w:r>
      <w:r w:rsidR="008834D7">
        <w:rPr>
          <w:rFonts w:eastAsia="ヒラギノ角ゴ Pro W3"/>
          <w:color w:val="000000"/>
        </w:rPr>
        <w:t xml:space="preserve">relevant and could prove significant </w:t>
      </w:r>
      <w:r>
        <w:rPr>
          <w:rFonts w:eastAsia="ヒラギノ角ゴ Pro W3"/>
          <w:color w:val="000000"/>
        </w:rPr>
        <w:t xml:space="preserve">in </w:t>
      </w:r>
      <w:r w:rsidR="008834D7">
        <w:rPr>
          <w:rFonts w:eastAsia="ヒラギノ角ゴ Pro W3"/>
          <w:color w:val="000000"/>
        </w:rPr>
        <w:t xml:space="preserve">assessing </w:t>
      </w:r>
      <w:r w:rsidR="00BC1697">
        <w:rPr>
          <w:rFonts w:eastAsia="ヒラギノ角ゴ Pro W3"/>
          <w:color w:val="000000"/>
        </w:rPr>
        <w:t>potential bias</w:t>
      </w:r>
      <w:r>
        <w:rPr>
          <w:rFonts w:eastAsia="ヒラギノ角ゴ Pro W3"/>
          <w:color w:val="000000"/>
        </w:rPr>
        <w:t xml:space="preserve">.  </w:t>
      </w:r>
    </w:p>
    <w:p w:rsidR="00910A94" w:rsidP="00124525">
      <w:pPr>
        <w:spacing w:line="480" w:lineRule="auto"/>
        <w:ind w:firstLine="720"/>
        <w:jc w:val="both"/>
        <w:rPr>
          <w:rFonts w:eastAsia="ヒラギノ角ゴ Pro W3"/>
          <w:color w:val="000000"/>
        </w:rPr>
      </w:pPr>
      <w:r>
        <w:rPr>
          <w:rFonts w:eastAsia="ヒラギノ角ゴ Pro W3"/>
          <w:color w:val="000000"/>
        </w:rPr>
        <w:t>Dr. Garcia</w:t>
      </w:r>
      <w:r w:rsidR="0032119C">
        <w:rPr>
          <w:rFonts w:eastAsia="ヒラギノ角ゴ Pro W3"/>
          <w:color w:val="000000"/>
        </w:rPr>
        <w:t xml:space="preserve"> initially</w:t>
      </w:r>
      <w:r w:rsidR="00447CFA">
        <w:rPr>
          <w:rFonts w:eastAsia="ヒラギノ角ゴ Pro W3"/>
          <w:color w:val="000000"/>
        </w:rPr>
        <w:t xml:space="preserve"> testified at his deposition that of the list of</w:t>
      </w:r>
      <w:r>
        <w:rPr>
          <w:rFonts w:eastAsia="ヒラギノ角ゴ Pro W3"/>
          <w:color w:val="000000"/>
        </w:rPr>
        <w:t xml:space="preserve"> 205 cases</w:t>
      </w:r>
      <w:r w:rsidR="00447CFA">
        <w:rPr>
          <w:rFonts w:eastAsia="ヒラギノ角ゴ Pro W3"/>
          <w:color w:val="000000"/>
        </w:rPr>
        <w:t xml:space="preserve"> in which he testified or gave a deposition, approximately 70% were on behalf of the defense and 30% were on behalf of the plaintiff.  </w:t>
      </w:r>
      <w:r w:rsidR="0032119C">
        <w:rPr>
          <w:rFonts w:eastAsia="ヒラギノ角ゴ Pro W3"/>
          <w:color w:val="000000"/>
        </w:rPr>
        <w:t xml:space="preserve">Later in the deposition, however, when asked to identify </w:t>
      </w:r>
      <w:r>
        <w:rPr>
          <w:rFonts w:eastAsia="ヒラギノ角ゴ Pro W3"/>
          <w:color w:val="000000"/>
        </w:rPr>
        <w:t xml:space="preserve">only those </w:t>
      </w:r>
      <w:r w:rsidR="0032119C">
        <w:rPr>
          <w:rFonts w:eastAsia="ヒラギノ角ゴ Pro W3"/>
          <w:color w:val="000000"/>
        </w:rPr>
        <w:t xml:space="preserve">cases </w:t>
      </w:r>
      <w:r>
        <w:rPr>
          <w:rFonts w:eastAsia="ヒラギノ角ゴ Pro W3"/>
          <w:color w:val="000000"/>
        </w:rPr>
        <w:t>in which</w:t>
      </w:r>
      <w:r w:rsidR="0032119C">
        <w:rPr>
          <w:rFonts w:eastAsia="ヒラギノ角ゴ Pro W3"/>
          <w:color w:val="000000"/>
        </w:rPr>
        <w:t xml:space="preserve"> he gave testimony as an expert witness (rather than testimony given as a treating physician)</w:t>
      </w:r>
      <w:r w:rsidR="008834D7">
        <w:rPr>
          <w:rFonts w:eastAsia="ヒラギノ角ゴ Pro W3"/>
          <w:color w:val="000000"/>
        </w:rPr>
        <w:t>,</w:t>
      </w:r>
      <w:r>
        <w:rPr>
          <w:rFonts w:eastAsia="ヒラギノ角ゴ Pro W3"/>
          <w:color w:val="000000"/>
        </w:rPr>
        <w:t xml:space="preserve"> Dr. Gar</w:t>
      </w:r>
      <w:r w:rsidR="0032119C">
        <w:rPr>
          <w:rFonts w:eastAsia="ヒラギノ角ゴ Pro W3"/>
          <w:color w:val="000000"/>
        </w:rPr>
        <w:t xml:space="preserve">cia </w:t>
      </w:r>
      <w:r>
        <w:rPr>
          <w:rFonts w:eastAsia="ヒラギノ角ゴ Pro W3"/>
          <w:color w:val="000000"/>
        </w:rPr>
        <w:t xml:space="preserve">was unable to do so, </w:t>
      </w:r>
      <w:r w:rsidR="0032119C">
        <w:rPr>
          <w:rFonts w:eastAsia="ヒラギノ角ゴ Pro W3"/>
          <w:color w:val="000000"/>
        </w:rPr>
        <w:t xml:space="preserve">eventually disclaiming the </w:t>
      </w:r>
      <w:r>
        <w:rPr>
          <w:rFonts w:eastAsia="ヒラギノ角ゴ Pro W3"/>
          <w:color w:val="000000"/>
        </w:rPr>
        <w:t xml:space="preserve">original estimated </w:t>
      </w:r>
      <w:r w:rsidR="0032119C">
        <w:rPr>
          <w:rFonts w:eastAsia="ヒラギノ角ゴ Pro W3"/>
          <w:color w:val="000000"/>
        </w:rPr>
        <w:t xml:space="preserve">percentages </w:t>
      </w:r>
      <w:r>
        <w:rPr>
          <w:rFonts w:eastAsia="ヒラギノ角ゴ Pro W3"/>
          <w:color w:val="000000"/>
        </w:rPr>
        <w:t xml:space="preserve">of plaintiff and defense work.  As a result, the trial court determined that the Parks was entitled to </w:t>
      </w:r>
      <w:r>
        <w:rPr>
          <w:rFonts w:eastAsia="ヒラギノ角ゴ Pro W3"/>
          <w:color w:val="000000"/>
        </w:rPr>
        <w:t xml:space="preserve">depose the person from Orthopedic with the most knowledge to identify which names or cases on the list involved Dr. Garcia’s testimony as an expert witness (as opposed to testimony as a treating physician).  </w:t>
      </w:r>
      <w:r w:rsidR="00EB7F57">
        <w:rPr>
          <w:rFonts w:eastAsia="ヒラギノ角ゴ Pro W3"/>
          <w:color w:val="000000"/>
        </w:rPr>
        <w:t xml:space="preserve"> </w:t>
      </w:r>
      <w:r>
        <w:rPr>
          <w:rFonts w:eastAsia="ヒラギノ角ゴ Pro W3"/>
          <w:color w:val="000000"/>
        </w:rPr>
        <w:t>We find no abuse of discretion in the trial court’s factual determinations in this regard.  We also conclude that the trial court correctly applied rule 1.28</w:t>
      </w:r>
      <w:r w:rsidR="003F47FE">
        <w:rPr>
          <w:rFonts w:eastAsia="ヒラギノ角ゴ Pro W3"/>
          <w:color w:val="000000"/>
        </w:rPr>
        <w:t>0 and the underlying purpose of</w:t>
      </w:r>
      <w:r>
        <w:rPr>
          <w:rFonts w:eastAsia="ヒラギノ角ゴ Pro W3"/>
          <w:color w:val="000000"/>
        </w:rPr>
        <w:t xml:space="preserve"> the rule</w:t>
      </w:r>
      <w:r w:rsidR="00EB7F57">
        <w:rPr>
          <w:rFonts w:eastAsia="ヒラギノ角ゴ Pro W3"/>
          <w:color w:val="000000"/>
        </w:rPr>
        <w:t xml:space="preserve"> in light of the factual circumstances presented</w:t>
      </w:r>
      <w:r>
        <w:rPr>
          <w:rFonts w:eastAsia="ヒラギノ角ゴ Pro W3"/>
          <w:color w:val="000000"/>
        </w:rPr>
        <w:t xml:space="preserve">. </w:t>
      </w:r>
    </w:p>
    <w:p w:rsidR="003170C4" w:rsidP="00124525">
      <w:pPr>
        <w:spacing w:line="480" w:lineRule="auto"/>
        <w:ind w:firstLine="720"/>
        <w:jc w:val="both"/>
        <w:rPr>
          <w:rFonts w:eastAsia="ヒラギノ角ゴ Pro W3"/>
          <w:color w:val="000000"/>
        </w:rPr>
      </w:pPr>
      <w:r>
        <w:rPr>
          <w:rFonts w:eastAsia="ヒラギノ角ゴ Pro W3"/>
          <w:color w:val="000000"/>
        </w:rPr>
        <w:t xml:space="preserve">As this court has previously recognized, “Florida case law and Florida Rule of Civil Procedure 1.280 . . . provide ‘reasonable latitude for inquiry about the extent of a trial expert’s alignment with one side, or another.’”  </w:t>
      </w:r>
      <w:r w:rsidRPr="008B168F">
        <w:rPr>
          <w:rFonts w:eastAsia="ヒラギノ角ゴ Pro W3"/>
          <w:color w:val="000000"/>
          <w:u w:val="single"/>
        </w:rPr>
        <w:t>Sanchez v. Nerys</w:t>
      </w:r>
      <w:r>
        <w:rPr>
          <w:rFonts w:eastAsia="ヒラギノ角ゴ Pro W3"/>
          <w:color w:val="000000"/>
        </w:rPr>
        <w:t>, 954 So. 2d 630, 631 (Fla. 3d DCA 2007).  We do not find an abuse of discretion in the trial court’s decision to deny Orthopedic’s motion for protective order where Parks’ discovery requests sought nothing more than a differentiation between Dr. Garcia’s relevant work “as an expert” and his other work as a treating physician.</w:t>
      </w:r>
      <w:r>
        <w:rPr>
          <w:rStyle w:val="FootnoteReference"/>
          <w:rFonts w:eastAsia="ヒラギノ角ゴ Pro W3"/>
          <w:color w:val="000000"/>
        </w:rPr>
        <w:footnoteReference w:id="6"/>
      </w:r>
      <w:r>
        <w:rPr>
          <w:rFonts w:eastAsia="ヒラギノ角ゴ Pro W3"/>
          <w:color w:val="000000"/>
        </w:rPr>
        <w:t xml:space="preserve">  </w:t>
      </w:r>
    </w:p>
    <w:p w:rsidR="00910A94" w:rsidP="00124525">
      <w:pPr>
        <w:spacing w:line="480" w:lineRule="auto"/>
        <w:ind w:firstLine="720"/>
        <w:jc w:val="both"/>
        <w:rPr>
          <w:rFonts w:eastAsia="ヒラギノ角ゴ Pro W3"/>
          <w:color w:val="000000"/>
        </w:rPr>
      </w:pPr>
      <w:r>
        <w:rPr>
          <w:rFonts w:eastAsia="ヒラギノ角ゴ Pro W3"/>
          <w:color w:val="000000"/>
        </w:rPr>
        <w:t xml:space="preserve">Given Dr. Garcia’s inability to differentiate the names on the list (retained expert testimony v. treating physician testimony), it </w:t>
      </w:r>
      <w:r w:rsidR="00EB7F57">
        <w:rPr>
          <w:rFonts w:eastAsia="ヒラギノ角ゴ Pro W3"/>
          <w:color w:val="000000"/>
        </w:rPr>
        <w:t>might well</w:t>
      </w:r>
      <w:r>
        <w:rPr>
          <w:rFonts w:eastAsia="ヒラギノ角ゴ Pro W3"/>
          <w:color w:val="000000"/>
        </w:rPr>
        <w:t xml:space="preserve"> be </w:t>
      </w:r>
      <w:r w:rsidR="00EB7F57">
        <w:rPr>
          <w:rFonts w:eastAsia="ヒラギノ角ゴ Pro W3"/>
          <w:color w:val="000000"/>
        </w:rPr>
        <w:t xml:space="preserve">inaccurate </w:t>
      </w:r>
      <w:r w:rsidR="00D46E6E">
        <w:rPr>
          <w:rFonts w:eastAsia="ヒラギノ角ゴ Pro W3"/>
          <w:color w:val="000000"/>
        </w:rPr>
        <w:t xml:space="preserve">for Dr. Garcia </w:t>
      </w:r>
      <w:r>
        <w:rPr>
          <w:rFonts w:eastAsia="ヒラギノ角ゴ Pro W3"/>
          <w:color w:val="000000"/>
        </w:rPr>
        <w:t xml:space="preserve">to </w:t>
      </w:r>
      <w:r w:rsidR="00D46E6E">
        <w:rPr>
          <w:rFonts w:eastAsia="ヒラギノ角ゴ Pro W3"/>
          <w:color w:val="000000"/>
        </w:rPr>
        <w:t>be permitted to maintain</w:t>
      </w:r>
      <w:r w:rsidR="008834D7">
        <w:rPr>
          <w:rFonts w:eastAsia="ヒラギノ角ゴ Pro W3"/>
          <w:color w:val="000000"/>
        </w:rPr>
        <w:t xml:space="preserve">, </w:t>
      </w:r>
      <w:r w:rsidR="00D46E6E">
        <w:rPr>
          <w:rFonts w:eastAsia="ヒラギノ角ゴ Pro W3"/>
          <w:color w:val="000000"/>
        </w:rPr>
        <w:t>and to</w:t>
      </w:r>
      <w:r>
        <w:rPr>
          <w:rFonts w:eastAsia="ヒラギノ角ゴ Pro W3"/>
          <w:color w:val="000000"/>
        </w:rPr>
        <w:t xml:space="preserve"> </w:t>
      </w:r>
      <w:r w:rsidR="00D46E6E">
        <w:rPr>
          <w:rFonts w:eastAsia="ヒラギノ角ゴ Pro W3"/>
          <w:color w:val="000000"/>
        </w:rPr>
        <w:t xml:space="preserve">require </w:t>
      </w:r>
      <w:r>
        <w:rPr>
          <w:rFonts w:eastAsia="ヒラギノ角ゴ Pro W3"/>
          <w:color w:val="000000"/>
        </w:rPr>
        <w:t xml:space="preserve">Parks to </w:t>
      </w:r>
      <w:r w:rsidR="00EB7F57">
        <w:rPr>
          <w:rFonts w:eastAsia="ヒラギノ角ゴ Pro W3"/>
          <w:color w:val="000000"/>
        </w:rPr>
        <w:t>accept</w:t>
      </w:r>
      <w:r w:rsidR="008834D7">
        <w:rPr>
          <w:rFonts w:eastAsia="ヒラギノ角ゴ Pro W3"/>
          <w:color w:val="000000"/>
        </w:rPr>
        <w:t>,</w:t>
      </w:r>
      <w:r>
        <w:rPr>
          <w:rFonts w:eastAsia="ヒラギノ角ゴ Pro W3"/>
          <w:color w:val="000000"/>
        </w:rPr>
        <w:t xml:space="preserve"> the equivocal </w:t>
      </w:r>
      <w:r w:rsidR="008834D7">
        <w:rPr>
          <w:rFonts w:eastAsia="ヒラギノ角ゴ Pro W3"/>
          <w:color w:val="000000"/>
        </w:rPr>
        <w:t>a</w:t>
      </w:r>
      <w:r>
        <w:rPr>
          <w:rFonts w:eastAsia="ヒラギノ角ゴ Pro W3"/>
          <w:color w:val="000000"/>
        </w:rPr>
        <w:t>nd undifferentiated estimate</w:t>
      </w:r>
      <w:r w:rsidR="008834D7">
        <w:rPr>
          <w:rFonts w:eastAsia="ヒラギノ角ゴ Pro W3"/>
          <w:color w:val="000000"/>
        </w:rPr>
        <w:t>s</w:t>
      </w:r>
      <w:r>
        <w:rPr>
          <w:rFonts w:eastAsia="ヒラギノ角ゴ Pro W3"/>
          <w:color w:val="000000"/>
        </w:rPr>
        <w:t xml:space="preserve"> provided by during </w:t>
      </w:r>
      <w:r w:rsidR="001E17B4">
        <w:rPr>
          <w:rFonts w:eastAsia="ヒラギノ角ゴ Pro W3"/>
          <w:color w:val="000000"/>
        </w:rPr>
        <w:t>Dr. Garcia’</w:t>
      </w:r>
      <w:r>
        <w:rPr>
          <w:rFonts w:eastAsia="ヒラギノ角ゴ Pro W3"/>
          <w:color w:val="000000"/>
        </w:rPr>
        <w:t>s deposition.  A</w:t>
      </w:r>
      <w:r w:rsidR="008834D7">
        <w:rPr>
          <w:rFonts w:eastAsia="ヒラギノ角ゴ Pro W3"/>
          <w:color w:val="000000"/>
        </w:rPr>
        <w:t xml:space="preserve"> single hypothetical </w:t>
      </w:r>
      <w:r>
        <w:rPr>
          <w:rFonts w:eastAsia="ヒラギノ角ゴ Pro W3"/>
          <w:color w:val="000000"/>
        </w:rPr>
        <w:t xml:space="preserve">should </w:t>
      </w:r>
      <w:r w:rsidR="00D46E6E">
        <w:rPr>
          <w:rFonts w:eastAsia="ヒラギノ角ゴ Pro W3"/>
          <w:color w:val="000000"/>
        </w:rPr>
        <w:t>clarify this point</w:t>
      </w:r>
      <w:r w:rsidR="008834D7">
        <w:rPr>
          <w:rFonts w:eastAsia="ヒラギノ角ゴ Pro W3"/>
          <w:color w:val="000000"/>
        </w:rPr>
        <w:t>:</w:t>
      </w:r>
      <w:r>
        <w:rPr>
          <w:rFonts w:eastAsia="ヒラギノ角ゴ Pro W3"/>
          <w:color w:val="000000"/>
        </w:rPr>
        <w:t xml:space="preserve"> </w:t>
      </w:r>
    </w:p>
    <w:p w:rsidR="00EB7F57" w:rsidP="00124525">
      <w:pPr>
        <w:spacing w:line="480" w:lineRule="auto"/>
        <w:ind w:firstLine="720"/>
        <w:jc w:val="both"/>
        <w:rPr>
          <w:rFonts w:eastAsia="ヒラギノ角ゴ Pro W3"/>
          <w:color w:val="000000"/>
        </w:rPr>
      </w:pPr>
      <w:r>
        <w:rPr>
          <w:rFonts w:eastAsia="ヒラギノ角ゴ Pro W3"/>
          <w:color w:val="000000"/>
        </w:rPr>
        <w:t>A</w:t>
      </w:r>
      <w:r w:rsidR="00910A94">
        <w:rPr>
          <w:rFonts w:eastAsia="ヒラギノ角ゴ Pro W3"/>
          <w:color w:val="000000"/>
        </w:rPr>
        <w:t xml:space="preserve">ssume that the list provided by Dr. Garcia contained a total of 200 cases </w:t>
      </w:r>
      <w:r w:rsidR="003679E0">
        <w:rPr>
          <w:rFonts w:eastAsia="ヒラギノ角ゴ Pro W3"/>
          <w:color w:val="000000"/>
        </w:rPr>
        <w:t xml:space="preserve">(for ease of calculation) </w:t>
      </w:r>
      <w:r w:rsidR="00910A94">
        <w:rPr>
          <w:rFonts w:eastAsia="ヒラギノ角ゴ Pro W3"/>
          <w:color w:val="000000"/>
        </w:rPr>
        <w:t xml:space="preserve">in which Dr. Garcia provided testimony </w:t>
      </w:r>
      <w:r>
        <w:rPr>
          <w:rFonts w:eastAsia="ヒラギノ角ゴ Pro W3"/>
          <w:color w:val="000000"/>
        </w:rPr>
        <w:t>either as a</w:t>
      </w:r>
      <w:r>
        <w:rPr>
          <w:rFonts w:eastAsia="ヒラギノ角ゴ Pro W3"/>
          <w:color w:val="000000"/>
        </w:rPr>
        <w:t xml:space="preserve"> retained</w:t>
      </w:r>
      <w:r>
        <w:rPr>
          <w:rFonts w:eastAsia="ヒラギノ角ゴ Pro W3"/>
          <w:color w:val="000000"/>
        </w:rPr>
        <w:t xml:space="preserve"> expert witness or as a treating physician.  </w:t>
      </w:r>
    </w:p>
    <w:p w:rsidR="00616359" w:rsidP="00124525">
      <w:pPr>
        <w:spacing w:line="480" w:lineRule="auto"/>
        <w:ind w:firstLine="720"/>
        <w:jc w:val="both"/>
        <w:rPr>
          <w:rFonts w:eastAsia="ヒラギノ角ゴ Pro W3"/>
          <w:color w:val="000000"/>
        </w:rPr>
      </w:pPr>
      <w:r>
        <w:rPr>
          <w:rFonts w:eastAsia="ヒラギノ角ゴ Pro W3"/>
          <w:color w:val="000000"/>
        </w:rPr>
        <w:t xml:space="preserve">Assume that in 30 percent of those cases (60 cases) </w:t>
      </w:r>
      <w:r w:rsidR="003679E0">
        <w:rPr>
          <w:rFonts w:eastAsia="ヒラギノ角ゴ Pro W3"/>
          <w:color w:val="000000"/>
        </w:rPr>
        <w:t>Dr. Garcia</w:t>
      </w:r>
      <w:r>
        <w:rPr>
          <w:rFonts w:eastAsia="ヒラギノ角ゴ Pro W3"/>
          <w:color w:val="000000"/>
        </w:rPr>
        <w:t xml:space="preserve"> provided testimony </w:t>
      </w:r>
      <w:r w:rsidR="00D46E6E">
        <w:rPr>
          <w:rFonts w:eastAsia="ヒラギノ角ゴ Pro W3"/>
          <w:color w:val="000000"/>
        </w:rPr>
        <w:t xml:space="preserve">for the plaintiff, </w:t>
      </w:r>
      <w:r w:rsidRPr="00EB7F57">
        <w:rPr>
          <w:rFonts w:eastAsia="ヒラギノ角ゴ Pro W3"/>
          <w:color w:val="000000"/>
          <w:u w:val="single"/>
        </w:rPr>
        <w:t>either</w:t>
      </w:r>
      <w:r>
        <w:rPr>
          <w:rFonts w:eastAsia="ヒラギノ角ゴ Pro W3"/>
          <w:color w:val="000000"/>
        </w:rPr>
        <w:t xml:space="preserve"> as a retained plaintiff’s expert </w:t>
      </w:r>
      <w:r w:rsidRPr="00EB7F57">
        <w:rPr>
          <w:rFonts w:eastAsia="ヒラギノ角ゴ Pro W3"/>
          <w:color w:val="000000"/>
          <w:u w:val="single"/>
        </w:rPr>
        <w:t>or</w:t>
      </w:r>
      <w:r>
        <w:rPr>
          <w:rFonts w:eastAsia="ヒラギノ角ゴ Pro W3"/>
          <w:color w:val="000000"/>
        </w:rPr>
        <w:t xml:space="preserve"> as a treating physician.  The remaining </w:t>
      </w:r>
      <w:r>
        <w:rPr>
          <w:rFonts w:eastAsia="ヒラギノ角ゴ Pro W3"/>
          <w:color w:val="000000"/>
        </w:rPr>
        <w:t>7</w:t>
      </w:r>
      <w:r>
        <w:rPr>
          <w:rFonts w:eastAsia="ヒラギノ角ゴ Pro W3"/>
          <w:color w:val="000000"/>
        </w:rPr>
        <w:t>0 percent (</w:t>
      </w:r>
      <w:r>
        <w:rPr>
          <w:rFonts w:eastAsia="ヒラギノ角ゴ Pro W3"/>
          <w:color w:val="000000"/>
        </w:rPr>
        <w:t>14</w:t>
      </w:r>
      <w:r>
        <w:rPr>
          <w:rFonts w:eastAsia="ヒラギノ角ゴ Pro W3"/>
          <w:color w:val="000000"/>
        </w:rPr>
        <w:t xml:space="preserve">0) would represent cases in which Dr. Garcia testified as a retained </w:t>
      </w:r>
      <w:r w:rsidR="008834D7">
        <w:rPr>
          <w:rFonts w:eastAsia="ヒラギノ角ゴ Pro W3"/>
          <w:color w:val="000000"/>
        </w:rPr>
        <w:t xml:space="preserve">defense </w:t>
      </w:r>
      <w:r>
        <w:rPr>
          <w:rFonts w:eastAsia="ヒラギノ角ゴ Pro W3"/>
          <w:color w:val="000000"/>
        </w:rPr>
        <w:t xml:space="preserve">expert.  </w:t>
      </w:r>
      <w:r w:rsidR="00D46E6E">
        <w:rPr>
          <w:rFonts w:eastAsia="ヒラギノ角ゴ Pro W3"/>
          <w:color w:val="000000"/>
        </w:rPr>
        <w:t xml:space="preserve">One could conceivably </w:t>
      </w:r>
      <w:r>
        <w:rPr>
          <w:rFonts w:eastAsia="ヒラギノ角ゴ Pro W3"/>
          <w:color w:val="000000"/>
        </w:rPr>
        <w:t>argue that these percentages (70</w:t>
      </w:r>
      <w:r w:rsidR="003679E0">
        <w:rPr>
          <w:rFonts w:eastAsia="ヒラギノ角ゴ Pro W3"/>
          <w:color w:val="000000"/>
        </w:rPr>
        <w:t xml:space="preserve"> percent</w:t>
      </w:r>
      <w:r>
        <w:rPr>
          <w:rFonts w:eastAsia="ヒラギノ角ゴ Pro W3"/>
          <w:color w:val="000000"/>
        </w:rPr>
        <w:t xml:space="preserve"> defense, 30 </w:t>
      </w:r>
      <w:r w:rsidR="003679E0">
        <w:rPr>
          <w:rFonts w:eastAsia="ヒラギノ角ゴ Pro W3"/>
          <w:color w:val="000000"/>
        </w:rPr>
        <w:t xml:space="preserve">percent </w:t>
      </w:r>
      <w:r>
        <w:rPr>
          <w:rFonts w:eastAsia="ヒラギノ角ゴ Pro W3"/>
          <w:color w:val="000000"/>
        </w:rPr>
        <w:t>plaintiff) reveal some</w:t>
      </w:r>
      <w:r w:rsidR="00D46E6E">
        <w:rPr>
          <w:rFonts w:eastAsia="ヒラギノ角ゴ Pro W3"/>
          <w:color w:val="000000"/>
        </w:rPr>
        <w:t xml:space="preserve"> potential</w:t>
      </w:r>
      <w:r>
        <w:rPr>
          <w:rFonts w:eastAsia="ヒラギノ角ゴ Pro W3"/>
          <w:color w:val="000000"/>
        </w:rPr>
        <w:t xml:space="preserve"> bias</w:t>
      </w:r>
      <w:r w:rsidR="00D46E6E">
        <w:rPr>
          <w:rFonts w:eastAsia="ヒラギノ角ゴ Pro W3"/>
          <w:color w:val="000000"/>
        </w:rPr>
        <w:t xml:space="preserve"> or alignment</w:t>
      </w:r>
      <w:r>
        <w:rPr>
          <w:rFonts w:eastAsia="ヒラギノ角ゴ Pro W3"/>
          <w:color w:val="000000"/>
        </w:rPr>
        <w:t xml:space="preserve"> as an expert</w:t>
      </w:r>
      <w:r w:rsidR="008834D7">
        <w:rPr>
          <w:rFonts w:eastAsia="ヒラギノ角ゴ Pro W3"/>
          <w:color w:val="000000"/>
        </w:rPr>
        <w:t xml:space="preserve"> witness</w:t>
      </w:r>
      <w:r>
        <w:rPr>
          <w:rFonts w:eastAsia="ヒラギノ角ゴ Pro W3"/>
          <w:color w:val="000000"/>
        </w:rPr>
        <w:t xml:space="preserve">.  </w:t>
      </w:r>
    </w:p>
    <w:p w:rsidR="00616359" w:rsidP="00124525">
      <w:pPr>
        <w:spacing w:line="480" w:lineRule="auto"/>
        <w:ind w:firstLine="720"/>
        <w:jc w:val="both"/>
        <w:rPr>
          <w:rFonts w:eastAsia="ヒラギノ角ゴ Pro W3"/>
          <w:color w:val="000000"/>
        </w:rPr>
      </w:pPr>
      <w:r>
        <w:rPr>
          <w:rFonts w:eastAsia="ヒラギノ角ゴ Pro W3"/>
          <w:color w:val="000000"/>
        </w:rPr>
        <w:t>A</w:t>
      </w:r>
      <w:r w:rsidR="00EB7F57">
        <w:rPr>
          <w:rFonts w:eastAsia="ヒラギノ角ゴ Pro W3"/>
          <w:color w:val="000000"/>
        </w:rPr>
        <w:t>ssume that when the list is differentiated (i.e., broken down to distinguish between testimony given as a</w:t>
      </w:r>
      <w:r w:rsidR="008834D7">
        <w:rPr>
          <w:rFonts w:eastAsia="ヒラギノ角ゴ Pro W3"/>
          <w:color w:val="000000"/>
        </w:rPr>
        <w:t xml:space="preserve"> retained</w:t>
      </w:r>
      <w:r w:rsidR="00EB7F57">
        <w:rPr>
          <w:rFonts w:eastAsia="ヒラギノ角ゴ Pro W3"/>
          <w:color w:val="000000"/>
        </w:rPr>
        <w:t xml:space="preserve"> </w:t>
      </w:r>
      <w:r w:rsidR="003679E0">
        <w:rPr>
          <w:rFonts w:eastAsia="ヒラギノ角ゴ Pro W3"/>
          <w:color w:val="000000"/>
        </w:rPr>
        <w:t xml:space="preserve">plaintiff’s </w:t>
      </w:r>
      <w:r w:rsidR="00EB7F57">
        <w:rPr>
          <w:rFonts w:eastAsia="ヒラギノ角ゴ Pro W3"/>
          <w:color w:val="000000"/>
        </w:rPr>
        <w:t xml:space="preserve">expert </w:t>
      </w:r>
      <w:r w:rsidR="00D46E6E">
        <w:rPr>
          <w:rFonts w:eastAsia="ヒラギノ角ゴ Pro W3"/>
          <w:color w:val="000000"/>
        </w:rPr>
        <w:t xml:space="preserve">versus </w:t>
      </w:r>
      <w:r w:rsidR="008834D7">
        <w:rPr>
          <w:rFonts w:eastAsia="ヒラギノ角ゴ Pro W3"/>
          <w:color w:val="000000"/>
        </w:rPr>
        <w:t xml:space="preserve">testimony given as </w:t>
      </w:r>
      <w:r w:rsidR="00EB7F57">
        <w:rPr>
          <w:rFonts w:eastAsia="ヒラギノ角ゴ Pro W3"/>
          <w:color w:val="000000"/>
        </w:rPr>
        <w:t xml:space="preserve">a treating physician) it is determined </w:t>
      </w:r>
      <w:r>
        <w:rPr>
          <w:rFonts w:eastAsia="ヒラギノ角ゴ Pro W3"/>
          <w:color w:val="000000"/>
        </w:rPr>
        <w:t xml:space="preserve">that of the 30 percent (60 cases) in which </w:t>
      </w:r>
      <w:r w:rsidR="00D46E6E">
        <w:rPr>
          <w:rFonts w:eastAsia="ヒラギノ角ゴ Pro W3"/>
          <w:color w:val="000000"/>
        </w:rPr>
        <w:t>Dr. Garcia</w:t>
      </w:r>
      <w:r>
        <w:rPr>
          <w:rFonts w:eastAsia="ヒラギノ角ゴ Pro W3"/>
          <w:color w:val="000000"/>
        </w:rPr>
        <w:t xml:space="preserve"> provided testimony “for the plaintiff</w:t>
      </w:r>
      <w:r w:rsidR="003F47FE">
        <w:rPr>
          <w:rFonts w:eastAsia="ヒラギノ角ゴ Pro W3"/>
          <w:color w:val="000000"/>
        </w:rPr>
        <w:t>,</w:t>
      </w:r>
      <w:r>
        <w:rPr>
          <w:rFonts w:eastAsia="ヒラギノ角ゴ Pro W3"/>
          <w:color w:val="000000"/>
        </w:rPr>
        <w:t xml:space="preserve">” every single one of those </w:t>
      </w:r>
      <w:r w:rsidR="00D46E6E">
        <w:rPr>
          <w:rFonts w:eastAsia="ヒラギノ角ゴ Pro W3"/>
          <w:color w:val="000000"/>
        </w:rPr>
        <w:t xml:space="preserve">60 </w:t>
      </w:r>
      <w:r>
        <w:rPr>
          <w:rFonts w:eastAsia="ヒラギノ角ゴ Pro W3"/>
          <w:color w:val="000000"/>
        </w:rPr>
        <w:t xml:space="preserve">cases </w:t>
      </w:r>
      <w:r w:rsidR="003679E0">
        <w:rPr>
          <w:rFonts w:eastAsia="ヒラギノ角ゴ Pro W3"/>
          <w:color w:val="000000"/>
        </w:rPr>
        <w:t xml:space="preserve">involved </w:t>
      </w:r>
      <w:r w:rsidR="00D46E6E">
        <w:rPr>
          <w:rFonts w:eastAsia="ヒラギノ角ゴ Pro W3"/>
          <w:color w:val="000000"/>
        </w:rPr>
        <w:t>testimony provided</w:t>
      </w:r>
      <w:r>
        <w:rPr>
          <w:rFonts w:eastAsia="ヒラギノ角ゴ Pro W3"/>
          <w:color w:val="000000"/>
        </w:rPr>
        <w:t xml:space="preserve"> </w:t>
      </w:r>
      <w:r w:rsidR="003679E0">
        <w:rPr>
          <w:rFonts w:eastAsia="ヒラギノ角ゴ Pro W3"/>
          <w:color w:val="000000"/>
        </w:rPr>
        <w:t xml:space="preserve">by Dr. Garcia </w:t>
      </w:r>
      <w:r>
        <w:rPr>
          <w:rFonts w:eastAsia="ヒラギノ角ゴ Pro W3"/>
          <w:color w:val="000000"/>
        </w:rPr>
        <w:t xml:space="preserve">as a treating physician.  In other words, 100 percent of the cases in which </w:t>
      </w:r>
      <w:r w:rsidR="003679E0">
        <w:rPr>
          <w:rFonts w:eastAsia="ヒラギノ角ゴ Pro W3"/>
          <w:color w:val="000000"/>
        </w:rPr>
        <w:t>Dr. Garcia</w:t>
      </w:r>
      <w:r>
        <w:rPr>
          <w:rFonts w:eastAsia="ヒラギノ角ゴ Pro W3"/>
          <w:color w:val="000000"/>
        </w:rPr>
        <w:t xml:space="preserve"> testified “for the plaintiff” was </w:t>
      </w:r>
      <w:r w:rsidR="003679E0">
        <w:rPr>
          <w:rFonts w:eastAsia="ヒラギノ角ゴ Pro W3"/>
          <w:color w:val="000000"/>
        </w:rPr>
        <w:t>testimony provided</w:t>
      </w:r>
      <w:r w:rsidR="00D46E6E">
        <w:rPr>
          <w:rFonts w:eastAsia="ヒラギノ角ゴ Pro W3"/>
          <w:color w:val="000000"/>
        </w:rPr>
        <w:t xml:space="preserve"> as a</w:t>
      </w:r>
      <w:r>
        <w:rPr>
          <w:rFonts w:eastAsia="ヒラギノ角ゴ Pro W3"/>
          <w:color w:val="000000"/>
        </w:rPr>
        <w:t xml:space="preserve"> result </w:t>
      </w:r>
      <w:r w:rsidR="00D46E6E">
        <w:rPr>
          <w:rFonts w:eastAsia="ヒラギノ角ゴ Pro W3"/>
          <w:color w:val="000000"/>
        </w:rPr>
        <w:t xml:space="preserve">of </w:t>
      </w:r>
      <w:r>
        <w:rPr>
          <w:rFonts w:eastAsia="ヒラギノ角ゴ Pro W3"/>
          <w:color w:val="000000"/>
        </w:rPr>
        <w:t xml:space="preserve">his relationship as </w:t>
      </w:r>
      <w:r w:rsidR="00D46E6E">
        <w:rPr>
          <w:rFonts w:eastAsia="ヒラギノ角ゴ Pro W3"/>
          <w:color w:val="000000"/>
        </w:rPr>
        <w:t>the plaintiff’s</w:t>
      </w:r>
      <w:r>
        <w:rPr>
          <w:rFonts w:eastAsia="ヒラギノ角ゴ Pro W3"/>
          <w:color w:val="000000"/>
        </w:rPr>
        <w:t xml:space="preserve"> treating physician</w:t>
      </w:r>
      <w:r w:rsidR="00D46E6E">
        <w:rPr>
          <w:rFonts w:eastAsia="ヒラギノ角ゴ Pro W3"/>
          <w:color w:val="000000"/>
        </w:rPr>
        <w:t>, and there were no cases on the list in which he testified “for the plaintiff” as a result of being retained as an expert witness for the plaintiff</w:t>
      </w:r>
      <w:r>
        <w:rPr>
          <w:rFonts w:eastAsia="ヒラギノ角ゴ Pro W3"/>
          <w:color w:val="000000"/>
        </w:rPr>
        <w:t xml:space="preserve">.  </w:t>
      </w:r>
    </w:p>
    <w:p w:rsidR="00447CFA" w:rsidP="00124525">
      <w:pPr>
        <w:spacing w:line="480" w:lineRule="auto"/>
        <w:ind w:firstLine="720"/>
        <w:jc w:val="both"/>
        <w:rPr>
          <w:rFonts w:eastAsia="ヒラギノ角ゴ Pro W3"/>
          <w:color w:val="000000"/>
        </w:rPr>
      </w:pPr>
      <w:r>
        <w:rPr>
          <w:rFonts w:eastAsia="ヒラギノ角ゴ Pro W3"/>
          <w:color w:val="000000"/>
        </w:rPr>
        <w:t>This would alter significantly the percentages</w:t>
      </w:r>
      <w:r w:rsidR="003679E0">
        <w:rPr>
          <w:rFonts w:eastAsia="ヒラギノ角ゴ Pro W3"/>
          <w:color w:val="000000"/>
        </w:rPr>
        <w:t xml:space="preserve">: </w:t>
      </w:r>
      <w:r>
        <w:rPr>
          <w:rFonts w:eastAsia="ヒラギノ角ゴ Pro W3"/>
          <w:color w:val="000000"/>
        </w:rPr>
        <w:t>instead of a 70/30 split, we would have a 100/0 split</w:t>
      </w:r>
      <w:r w:rsidR="003679E0">
        <w:rPr>
          <w:rFonts w:eastAsia="ヒラギノ角ゴ Pro W3"/>
          <w:color w:val="000000"/>
        </w:rPr>
        <w:t xml:space="preserve">, because the hypothetical differentiated list reveals that in </w:t>
      </w:r>
      <w:r>
        <w:rPr>
          <w:rFonts w:eastAsia="ヒラギノ角ゴ Pro W3"/>
          <w:color w:val="000000"/>
        </w:rPr>
        <w:t xml:space="preserve">every </w:t>
      </w:r>
      <w:r w:rsidR="00D46E6E">
        <w:rPr>
          <w:rFonts w:eastAsia="ヒラギノ角ゴ Pro W3"/>
          <w:color w:val="000000"/>
        </w:rPr>
        <w:t xml:space="preserve">single </w:t>
      </w:r>
      <w:r>
        <w:rPr>
          <w:rFonts w:eastAsia="ヒラギノ角ゴ Pro W3"/>
          <w:color w:val="000000"/>
        </w:rPr>
        <w:t xml:space="preserve">case in which Dr. Garcia testified </w:t>
      </w:r>
      <w:r w:rsidRPr="00616359">
        <w:rPr>
          <w:rFonts w:eastAsia="ヒラギノ角ゴ Pro W3"/>
          <w:b/>
          <w:color w:val="000000"/>
          <w:u w:val="single"/>
        </w:rPr>
        <w:t>as a retained expert</w:t>
      </w:r>
      <w:r w:rsidRPr="009A5577" w:rsidR="003679E0">
        <w:rPr>
          <w:rFonts w:eastAsia="ヒラギノ角ゴ Pro W3"/>
          <w:color w:val="000000"/>
        </w:rPr>
        <w:t xml:space="preserve"> (140 out of 200 cases)</w:t>
      </w:r>
      <w:r>
        <w:rPr>
          <w:rFonts w:eastAsia="ヒラギノ角ゴ Pro W3"/>
          <w:color w:val="000000"/>
        </w:rPr>
        <w:t>, he did so on</w:t>
      </w:r>
      <w:r w:rsidR="00FC53F0">
        <w:rPr>
          <w:rFonts w:eastAsia="ヒラギノ角ゴ Pro W3"/>
          <w:color w:val="000000"/>
        </w:rPr>
        <w:t>ly on</w:t>
      </w:r>
      <w:r>
        <w:rPr>
          <w:rFonts w:eastAsia="ヒラギノ角ゴ Pro W3"/>
          <w:color w:val="000000"/>
        </w:rPr>
        <w:t xml:space="preserve"> behalf of the defense. </w:t>
      </w:r>
      <w:r w:rsidR="00FC53F0">
        <w:rPr>
          <w:rFonts w:eastAsia="ヒラギノ角ゴ Pro W3"/>
          <w:color w:val="000000"/>
        </w:rPr>
        <w:t xml:space="preserve"> </w:t>
      </w:r>
      <w:r w:rsidR="003679E0">
        <w:rPr>
          <w:rFonts w:eastAsia="ヒラギノ角ゴ Pro W3"/>
          <w:color w:val="000000"/>
        </w:rPr>
        <w:t>The remaining 60 cases involved testimony provided</w:t>
      </w:r>
      <w:r w:rsidR="009A5577">
        <w:rPr>
          <w:rFonts w:eastAsia="ヒラギノ角ゴ Pro W3"/>
          <w:color w:val="000000"/>
        </w:rPr>
        <w:t xml:space="preserve"> not as a plaintiff’s retained expert, but rather as a result of treatment and care provided as </w:t>
      </w:r>
      <w:r w:rsidR="001E17B4">
        <w:rPr>
          <w:rFonts w:eastAsia="ヒラギノ角ゴ Pro W3"/>
          <w:color w:val="000000"/>
        </w:rPr>
        <w:t>each</w:t>
      </w:r>
      <w:r w:rsidR="009A5577">
        <w:rPr>
          <w:rFonts w:eastAsia="ヒラギノ角ゴ Pro W3"/>
          <w:color w:val="000000"/>
        </w:rPr>
        <w:t xml:space="preserve"> plaintiff’</w:t>
      </w:r>
      <w:r w:rsidR="001E17B4">
        <w:rPr>
          <w:rFonts w:eastAsia="ヒラギノ角ゴ Pro W3"/>
          <w:color w:val="000000"/>
        </w:rPr>
        <w:t>s</w:t>
      </w:r>
      <w:r w:rsidR="009A5577">
        <w:rPr>
          <w:rFonts w:eastAsia="ヒラギノ角ゴ Pro W3"/>
          <w:color w:val="000000"/>
        </w:rPr>
        <w:t xml:space="preserve"> treating physician</w:t>
      </w:r>
      <w:r w:rsidR="003679E0">
        <w:rPr>
          <w:rFonts w:eastAsia="ヒラギノ角ゴ Pro W3"/>
          <w:color w:val="000000"/>
        </w:rPr>
        <w:t xml:space="preserve">.  </w:t>
      </w:r>
      <w:r w:rsidR="00FC53F0">
        <w:rPr>
          <w:rFonts w:eastAsia="ヒラギノ角ゴ Pro W3"/>
          <w:color w:val="000000"/>
        </w:rPr>
        <w:t xml:space="preserve">Though of course we have no way of knowing whether or how the </w:t>
      </w:r>
      <w:r w:rsidR="00D46E6E">
        <w:rPr>
          <w:rFonts w:eastAsia="ヒラギノ角ゴ Pro W3"/>
          <w:color w:val="000000"/>
        </w:rPr>
        <w:t xml:space="preserve">actual </w:t>
      </w:r>
      <w:r w:rsidR="00FC53F0">
        <w:rPr>
          <w:rFonts w:eastAsia="ヒラギノ角ゴ Pro W3"/>
          <w:color w:val="000000"/>
        </w:rPr>
        <w:t xml:space="preserve">percentages will be affected by this differentiation, it is clear that Parks was entitled to seek this information to further discover the extent of any potential bias. </w:t>
      </w:r>
    </w:p>
    <w:p w:rsidR="00124525" w:rsidRPr="00124525" w:rsidP="00AF0050">
      <w:pPr>
        <w:spacing w:line="480" w:lineRule="auto"/>
        <w:ind w:firstLine="720"/>
        <w:jc w:val="both"/>
        <w:rPr>
          <w:rFonts w:eastAsia="ヒラギノ角ゴ Pro W3"/>
          <w:color w:val="000000"/>
        </w:rPr>
      </w:pPr>
      <w:r>
        <w:rPr>
          <w:rFonts w:eastAsia="ヒラギノ角ゴ Pro W3"/>
          <w:color w:val="000000"/>
        </w:rPr>
        <w:t xml:space="preserve">We also find no merit in Orthopedic’s assertion that Parks’ request would require it to create a document that does not exist.  </w:t>
      </w:r>
      <w:r w:rsidRPr="00AF0050">
        <w:rPr>
          <w:rFonts w:eastAsia="ヒラギノ角ゴ Pro W3"/>
          <w:color w:val="000000"/>
          <w:u w:val="single"/>
        </w:rPr>
        <w:t>See</w:t>
      </w:r>
      <w:r>
        <w:rPr>
          <w:rFonts w:eastAsia="ヒラギノ角ゴ Pro W3"/>
          <w:color w:val="000000"/>
        </w:rPr>
        <w:t xml:space="preserve"> </w:t>
      </w:r>
      <w:r w:rsidRPr="00AF0050">
        <w:rPr>
          <w:rFonts w:eastAsia="ヒラギノ角ゴ Pro W3"/>
          <w:color w:val="000000"/>
          <w:u w:val="single"/>
        </w:rPr>
        <w:t>Orkin Exterminating Co. v. Knollwood Props., Ltd.</w:t>
      </w:r>
      <w:r>
        <w:rPr>
          <w:rFonts w:eastAsia="ヒラギノ角ゴ Pro W3"/>
          <w:color w:val="000000"/>
        </w:rPr>
        <w:t>, 710 So. 2d 697</w:t>
      </w:r>
      <w:r w:rsidR="00AF0050">
        <w:rPr>
          <w:rFonts w:eastAsia="ヒラギノ角ゴ Pro W3"/>
          <w:color w:val="000000"/>
        </w:rPr>
        <w:t xml:space="preserve"> (Fla. 5th DCA 1998).  </w:t>
      </w:r>
      <w:r>
        <w:rPr>
          <w:rFonts w:eastAsia="ヒラギノ角ゴ Pro W3"/>
          <w:color w:val="000000"/>
        </w:rPr>
        <w:t xml:space="preserve">  </w:t>
      </w:r>
    </w:p>
    <w:p w:rsidR="00124525" w:rsidRPr="009A5577" w:rsidP="0072795D">
      <w:pPr>
        <w:numPr>
          <w:ilvl w:val="0"/>
          <w:numId w:val="12"/>
        </w:numPr>
        <w:spacing w:after="200" w:line="480" w:lineRule="auto"/>
        <w:contextualSpacing/>
        <w:jc w:val="both"/>
        <w:rPr>
          <w:rFonts w:eastAsia="ヒラギノ角ゴ Pro W3"/>
          <w:b/>
          <w:color w:val="000000"/>
          <w:u w:val="single"/>
        </w:rPr>
      </w:pPr>
      <w:r w:rsidRPr="009A5577">
        <w:rPr>
          <w:rFonts w:eastAsia="ヒラギノ角ゴ Pro W3"/>
          <w:b/>
          <w:color w:val="000000"/>
          <w:u w:val="single"/>
        </w:rPr>
        <w:t>Section 456.057, Florida Statutes</w:t>
      </w:r>
    </w:p>
    <w:p w:rsidR="0072795D" w:rsidRPr="0072795D" w:rsidP="00D46E6E">
      <w:pPr>
        <w:spacing w:line="480" w:lineRule="auto"/>
        <w:ind w:firstLine="720"/>
        <w:jc w:val="both"/>
        <w:rPr>
          <w:rFonts w:eastAsia="ヒラギノ角ゴ Pro W3"/>
          <w:color w:val="000000"/>
        </w:rPr>
      </w:pPr>
      <w:r w:rsidRPr="0072795D">
        <w:rPr>
          <w:rFonts w:eastAsia="ヒラギノ角ゴ Pro W3"/>
          <w:color w:val="000000"/>
        </w:rPr>
        <w:t>Finally, O</w:t>
      </w:r>
      <w:r w:rsidR="00D93566">
        <w:rPr>
          <w:rFonts w:eastAsia="ヒラギノ角ゴ Pro W3"/>
          <w:color w:val="000000"/>
        </w:rPr>
        <w:t>rthopedic</w:t>
      </w:r>
      <w:r w:rsidRPr="0072795D">
        <w:rPr>
          <w:rFonts w:eastAsia="ヒラギノ角ゴ Pro W3"/>
          <w:color w:val="000000"/>
        </w:rPr>
        <w:t xml:space="preserve"> argues that the order violates section 456.057</w:t>
      </w:r>
      <w:r w:rsidR="00D46E6E">
        <w:rPr>
          <w:rFonts w:eastAsia="ヒラギノ角ゴ Pro W3"/>
          <w:color w:val="000000"/>
        </w:rPr>
        <w:t>, Florida Statutes (2014),</w:t>
      </w:r>
      <w:r w:rsidRPr="0072795D">
        <w:rPr>
          <w:rFonts w:eastAsia="ヒラギノ角ゴ Pro W3"/>
          <w:color w:val="000000"/>
        </w:rPr>
        <w:t xml:space="preserve"> which protects against the disclosure of patient information.  This statute concerns the control of patient records and </w:t>
      </w:r>
      <w:r w:rsidR="00D46E6E">
        <w:rPr>
          <w:rFonts w:eastAsia="ヒラギノ角ゴ Pro W3"/>
          <w:color w:val="000000"/>
        </w:rPr>
        <w:t>provides</w:t>
      </w:r>
      <w:r w:rsidRPr="0072795D">
        <w:rPr>
          <w:rFonts w:eastAsia="ヒラギノ角ゴ Pro W3"/>
          <w:color w:val="000000"/>
        </w:rPr>
        <w:t>:</w:t>
      </w:r>
    </w:p>
    <w:p w:rsidR="0072795D" w:rsidP="0072795D">
      <w:pPr>
        <w:ind w:left="720" w:right="720"/>
        <w:jc w:val="both"/>
        <w:rPr>
          <w:rFonts w:eastAsia="ヒラギノ角ゴ Pro W3"/>
          <w:color w:val="000000"/>
        </w:rPr>
      </w:pPr>
      <w:r w:rsidRPr="0072795D">
        <w:rPr>
          <w:rFonts w:eastAsia="ヒラギノ角ゴ Pro W3"/>
          <w:color w:val="000000"/>
        </w:rPr>
        <w:t xml:space="preserve">Except as otherwise provided in this section …, such records may not be furnished to, and the medical condition of a patient may not be </w:t>
      </w:r>
      <w:r w:rsidRPr="0072795D">
        <w:rPr>
          <w:rFonts w:eastAsia="ヒラギノ角ゴ Pro W3"/>
          <w:color w:val="000000"/>
        </w:rPr>
        <w:t>discussed with, any person other than the patient or the patient’s legal representative, or other health care practitioners involved in the patient’s care or treatment, except upon written authorization from the patient.  However, such records may be furnished without written authorization under the following circumstances:</w:t>
      </w:r>
    </w:p>
    <w:p w:rsidR="003F47FE" w:rsidRPr="0072795D" w:rsidP="0072795D">
      <w:pPr>
        <w:ind w:left="720" w:right="720"/>
        <w:jc w:val="both"/>
        <w:rPr>
          <w:rFonts w:eastAsia="ヒラギノ角ゴ Pro W3"/>
          <w:color w:val="000000"/>
        </w:rPr>
      </w:pPr>
    </w:p>
    <w:p w:rsidR="0072795D" w:rsidRPr="0072795D" w:rsidP="0072795D">
      <w:pPr>
        <w:ind w:left="720" w:right="720"/>
        <w:jc w:val="both"/>
        <w:rPr>
          <w:rFonts w:eastAsia="ヒラギノ角ゴ Pro W3"/>
          <w:color w:val="000000"/>
        </w:rPr>
      </w:pPr>
      <w:r>
        <w:rPr>
          <w:rFonts w:eastAsia="ヒラギノ角ゴ Pro W3"/>
          <w:color w:val="000000"/>
        </w:rPr>
        <w:t xml:space="preserve">. . . </w:t>
      </w:r>
    </w:p>
    <w:p w:rsidR="0072795D" w:rsidRPr="0072795D" w:rsidP="0072795D">
      <w:pPr>
        <w:ind w:left="720" w:right="720"/>
        <w:jc w:val="both"/>
        <w:rPr>
          <w:rFonts w:eastAsia="ヒラギノ角ゴ Pro W3"/>
          <w:color w:val="000000"/>
        </w:rPr>
      </w:pPr>
      <w:r w:rsidRPr="0072795D">
        <w:rPr>
          <w:rFonts w:eastAsia="ヒラギノ角ゴ Pro W3"/>
          <w:color w:val="000000"/>
        </w:rPr>
        <w:t xml:space="preserve">3. In any civil or criminal action, unless otherwise prohibited by law, upon the issuance of a subpoena from a court of competent jurisdiction and proper notice to the patient or the patient’s legal representative by the party seeking such records. </w:t>
      </w:r>
    </w:p>
    <w:p w:rsidR="0072795D" w:rsidRPr="0072795D" w:rsidP="0072795D">
      <w:pPr>
        <w:jc w:val="both"/>
        <w:rPr>
          <w:rFonts w:eastAsia="ヒラギノ角ゴ Pro W3"/>
          <w:color w:val="000000"/>
        </w:rPr>
      </w:pPr>
    </w:p>
    <w:p w:rsidR="0072795D" w:rsidP="00875E4A">
      <w:pPr>
        <w:spacing w:line="480" w:lineRule="auto"/>
        <w:jc w:val="both"/>
        <w:rPr>
          <w:rFonts w:eastAsia="ヒラギノ角ゴ Pro W3"/>
          <w:color w:val="000000"/>
        </w:rPr>
      </w:pPr>
      <w:r w:rsidRPr="0072795D">
        <w:rPr>
          <w:rFonts w:eastAsia="ヒラギノ角ゴ Pro W3"/>
          <w:color w:val="000000"/>
        </w:rPr>
        <w:t xml:space="preserve">§ 456.057(7)(a)(3), Fla. Stat. </w:t>
      </w:r>
      <w:r w:rsidR="00BD7A76">
        <w:rPr>
          <w:rFonts w:eastAsia="ヒラギノ角ゴ Pro W3"/>
          <w:color w:val="000000"/>
        </w:rPr>
        <w:t xml:space="preserve">(2014). </w:t>
      </w:r>
      <w:r w:rsidRPr="0072795D">
        <w:rPr>
          <w:rFonts w:eastAsia="ヒラギノ角ゴ Pro W3"/>
          <w:color w:val="000000"/>
        </w:rPr>
        <w:t xml:space="preserve"> </w:t>
      </w:r>
      <w:r w:rsidR="00AF0050">
        <w:rPr>
          <w:rFonts w:eastAsia="ヒラギノ角ゴ Pro W3"/>
          <w:color w:val="000000"/>
        </w:rPr>
        <w:t xml:space="preserve">We find that the order at issue does not </w:t>
      </w:r>
      <w:r w:rsidRPr="0072795D">
        <w:rPr>
          <w:rFonts w:eastAsia="ヒラギノ角ゴ Pro W3"/>
          <w:color w:val="000000"/>
        </w:rPr>
        <w:t xml:space="preserve">implicate section 456.057 as it </w:t>
      </w:r>
      <w:r w:rsidR="00AF0050">
        <w:rPr>
          <w:rFonts w:eastAsia="ヒラギノ角ゴ Pro W3"/>
          <w:color w:val="000000"/>
        </w:rPr>
        <w:t>does not</w:t>
      </w:r>
      <w:r w:rsidRPr="0072795D">
        <w:rPr>
          <w:rFonts w:eastAsia="ヒラギノ角ゴ Pro W3"/>
          <w:color w:val="000000"/>
        </w:rPr>
        <w:t xml:space="preserve"> require O</w:t>
      </w:r>
      <w:r w:rsidR="00D93566">
        <w:rPr>
          <w:rFonts w:eastAsia="ヒラギノ角ゴ Pro W3"/>
          <w:color w:val="000000"/>
        </w:rPr>
        <w:t>rthopedic</w:t>
      </w:r>
      <w:r w:rsidRPr="0072795D">
        <w:rPr>
          <w:rFonts w:eastAsia="ヒラギノ角ゴ Pro W3"/>
          <w:color w:val="000000"/>
        </w:rPr>
        <w:t xml:space="preserve"> to provide any reports or any information </w:t>
      </w:r>
      <w:r w:rsidR="00AF0050">
        <w:rPr>
          <w:rFonts w:eastAsia="ヒラギノ角ゴ Pro W3"/>
          <w:color w:val="000000"/>
        </w:rPr>
        <w:t>regarding the</w:t>
      </w:r>
      <w:r w:rsidRPr="0072795D">
        <w:rPr>
          <w:rFonts w:eastAsia="ヒラギノ角ゴ Pro W3"/>
          <w:color w:val="000000"/>
        </w:rPr>
        <w:t xml:space="preserve"> patients’ medical conditions.  </w:t>
      </w:r>
      <w:r w:rsidR="00AF0050">
        <w:rPr>
          <w:rFonts w:eastAsia="ヒラギノ角ゴ Pro W3"/>
          <w:color w:val="000000"/>
        </w:rPr>
        <w:t xml:space="preserve">Further, </w:t>
      </w:r>
      <w:r w:rsidR="003679E0">
        <w:rPr>
          <w:rFonts w:eastAsia="ヒラギノ角ゴ Pro W3"/>
          <w:color w:val="000000"/>
        </w:rPr>
        <w:t xml:space="preserve">it was </w:t>
      </w:r>
      <w:r w:rsidRPr="0072795D">
        <w:rPr>
          <w:rFonts w:eastAsia="ヒラギノ角ゴ Pro W3"/>
          <w:color w:val="000000"/>
        </w:rPr>
        <w:t xml:space="preserve">Dr. Garcia </w:t>
      </w:r>
      <w:r w:rsidR="003679E0">
        <w:rPr>
          <w:rFonts w:eastAsia="ヒラギノ角ゴ Pro W3"/>
          <w:color w:val="000000"/>
        </w:rPr>
        <w:t xml:space="preserve">who </w:t>
      </w:r>
      <w:r w:rsidRPr="0072795D">
        <w:rPr>
          <w:rFonts w:eastAsia="ヒラギノ角ゴ Pro W3"/>
          <w:color w:val="000000"/>
        </w:rPr>
        <w:t>provided Parks with the names of certain patients</w:t>
      </w:r>
      <w:r w:rsidR="003679E0">
        <w:rPr>
          <w:rFonts w:eastAsia="ヒラギノ角ゴ Pro W3"/>
          <w:color w:val="000000"/>
        </w:rPr>
        <w:t xml:space="preserve">, by producing the undifferentiated list at his </w:t>
      </w:r>
      <w:r w:rsidRPr="0072795D">
        <w:rPr>
          <w:rFonts w:eastAsia="ヒラギノ角ゴ Pro W3"/>
          <w:color w:val="000000"/>
        </w:rPr>
        <w:t>deposition</w:t>
      </w:r>
      <w:r w:rsidR="00BD7A76">
        <w:rPr>
          <w:rFonts w:eastAsia="ヒラギノ角ゴ Pro W3"/>
          <w:color w:val="000000"/>
        </w:rPr>
        <w:t>.  T</w:t>
      </w:r>
      <w:r w:rsidRPr="0072795D">
        <w:rPr>
          <w:rFonts w:eastAsia="ヒラギノ角ゴ Pro W3"/>
          <w:color w:val="000000"/>
        </w:rPr>
        <w:t>he trial court’s order simply requ</w:t>
      </w:r>
      <w:r w:rsidR="00BD7A76">
        <w:rPr>
          <w:rFonts w:eastAsia="ヒラギノ角ゴ Pro W3"/>
          <w:color w:val="000000"/>
        </w:rPr>
        <w:t>ires</w:t>
      </w:r>
      <w:r w:rsidRPr="0072795D">
        <w:rPr>
          <w:rFonts w:eastAsia="ヒラギノ角ゴ Pro W3"/>
          <w:color w:val="000000"/>
        </w:rPr>
        <w:t xml:space="preserve"> </w:t>
      </w:r>
      <w:r w:rsidR="00BD7A76">
        <w:rPr>
          <w:rFonts w:eastAsia="ヒラギノ角ゴ Pro W3"/>
          <w:color w:val="000000"/>
        </w:rPr>
        <w:t>Orthopedic</w:t>
      </w:r>
      <w:r w:rsidRPr="0072795D">
        <w:rPr>
          <w:rFonts w:eastAsia="ヒラギノ角ゴ Pro W3"/>
          <w:color w:val="000000"/>
        </w:rPr>
        <w:t xml:space="preserve"> </w:t>
      </w:r>
      <w:r w:rsidR="00BD7A76">
        <w:rPr>
          <w:rFonts w:eastAsia="ヒラギノ角ゴ Pro W3"/>
          <w:color w:val="000000"/>
        </w:rPr>
        <w:t>to review th</w:t>
      </w:r>
      <w:r w:rsidR="003679E0">
        <w:rPr>
          <w:rFonts w:eastAsia="ヒラギノ角ゴ Pro W3"/>
          <w:color w:val="000000"/>
        </w:rPr>
        <w:t>e</w:t>
      </w:r>
      <w:r w:rsidR="00BD7A76">
        <w:rPr>
          <w:rFonts w:eastAsia="ヒラギノ角ゴ Pro W3"/>
          <w:color w:val="000000"/>
        </w:rPr>
        <w:t xml:space="preserve"> list </w:t>
      </w:r>
      <w:r w:rsidR="003679E0">
        <w:rPr>
          <w:rFonts w:eastAsia="ヒラギノ角ゴ Pro W3"/>
          <w:color w:val="000000"/>
        </w:rPr>
        <w:t xml:space="preserve">previously provided by Dr. Garcia, </w:t>
      </w:r>
      <w:r w:rsidR="00BD7A76">
        <w:rPr>
          <w:rFonts w:eastAsia="ヒラギノ角ゴ Pro W3"/>
          <w:color w:val="000000"/>
        </w:rPr>
        <w:t xml:space="preserve">and </w:t>
      </w:r>
      <w:r w:rsidR="003679E0">
        <w:rPr>
          <w:rFonts w:eastAsia="ヒラギノ角ゴ Pro W3"/>
          <w:color w:val="000000"/>
        </w:rPr>
        <w:t xml:space="preserve">to </w:t>
      </w:r>
      <w:r w:rsidR="00BD7A76">
        <w:rPr>
          <w:rFonts w:eastAsia="ヒラギノ角ゴ Pro W3"/>
          <w:color w:val="000000"/>
        </w:rPr>
        <w:t xml:space="preserve">differentiate the </w:t>
      </w:r>
      <w:r w:rsidRPr="0072795D">
        <w:rPr>
          <w:rFonts w:eastAsia="ヒラギノ角ゴ Pro W3"/>
          <w:color w:val="000000"/>
        </w:rPr>
        <w:t>names o</w:t>
      </w:r>
      <w:r w:rsidR="00BD7A76">
        <w:rPr>
          <w:rFonts w:eastAsia="ヒラギノ角ゴ Pro W3"/>
          <w:color w:val="000000"/>
        </w:rPr>
        <w:t xml:space="preserve">f </w:t>
      </w:r>
      <w:r w:rsidR="003679E0">
        <w:rPr>
          <w:rFonts w:eastAsia="ヒラギノ角ゴ Pro W3"/>
          <w:color w:val="000000"/>
        </w:rPr>
        <w:t xml:space="preserve">patients treated by </w:t>
      </w:r>
      <w:r w:rsidR="00BD7A76">
        <w:rPr>
          <w:rFonts w:eastAsia="ヒラギノ角ゴ Pro W3"/>
          <w:color w:val="000000"/>
        </w:rPr>
        <w:t xml:space="preserve">Dr. Garcia from the names of individuals </w:t>
      </w:r>
      <w:r w:rsidR="003679E0">
        <w:rPr>
          <w:rFonts w:eastAsia="ヒラギノ角ゴ Pro W3"/>
          <w:color w:val="000000"/>
        </w:rPr>
        <w:t xml:space="preserve">upon whom </w:t>
      </w:r>
      <w:r w:rsidR="00BD7A76">
        <w:rPr>
          <w:rFonts w:eastAsia="ヒラギノ角ゴ Pro W3"/>
          <w:color w:val="000000"/>
        </w:rPr>
        <w:t>Dr. Garcia</w:t>
      </w:r>
      <w:r w:rsidRPr="0072795D">
        <w:rPr>
          <w:rFonts w:eastAsia="ヒラギノ角ゴ Pro W3"/>
          <w:color w:val="000000"/>
        </w:rPr>
        <w:t xml:space="preserve"> perform</w:t>
      </w:r>
      <w:r w:rsidR="003679E0">
        <w:rPr>
          <w:rFonts w:eastAsia="ヒラギノ角ゴ Pro W3"/>
          <w:color w:val="000000"/>
        </w:rPr>
        <w:t xml:space="preserve">ed </w:t>
      </w:r>
      <w:r w:rsidRPr="0072795D">
        <w:rPr>
          <w:rFonts w:eastAsia="ヒラギノ角ゴ Pro W3"/>
          <w:color w:val="000000"/>
        </w:rPr>
        <w:t>a</w:t>
      </w:r>
      <w:r w:rsidR="00E458A7">
        <w:rPr>
          <w:rFonts w:eastAsia="ヒラギノ角ゴ Pro W3"/>
          <w:color w:val="000000"/>
        </w:rPr>
        <w:t>n I</w:t>
      </w:r>
      <w:r w:rsidRPr="0072795D">
        <w:rPr>
          <w:rFonts w:eastAsia="ヒラギノ角ゴ Pro W3"/>
          <w:color w:val="000000"/>
        </w:rPr>
        <w:t>ME</w:t>
      </w:r>
      <w:r w:rsidR="00BD7A76">
        <w:rPr>
          <w:rFonts w:eastAsia="ヒラギノ角ゴ Pro W3"/>
          <w:color w:val="000000"/>
        </w:rPr>
        <w:t xml:space="preserve"> or CME</w:t>
      </w:r>
      <w:r w:rsidR="003679E0">
        <w:rPr>
          <w:rFonts w:eastAsia="ヒラギノ角ゴ Pro W3"/>
          <w:color w:val="000000"/>
        </w:rPr>
        <w:t xml:space="preserve"> as a retained expert</w:t>
      </w:r>
      <w:r w:rsidRPr="0072795D">
        <w:rPr>
          <w:rFonts w:eastAsia="ヒラギノ角ゴ Pro W3"/>
          <w:color w:val="000000"/>
        </w:rPr>
        <w:t xml:space="preserve">. </w:t>
      </w:r>
    </w:p>
    <w:p w:rsidR="00E458A7" w:rsidP="00875E4A">
      <w:pPr>
        <w:spacing w:line="480" w:lineRule="auto"/>
        <w:jc w:val="both"/>
        <w:rPr>
          <w:rFonts w:eastAsia="ヒラギノ角ゴ Pro W3"/>
          <w:color w:val="000000"/>
        </w:rPr>
      </w:pPr>
      <w:r>
        <w:rPr>
          <w:rFonts w:eastAsia="ヒラギノ角ゴ Pro W3"/>
          <w:color w:val="000000"/>
        </w:rPr>
        <w:tab/>
        <w:t xml:space="preserve">Accordingly, we affirm the order denying Orthopedic’s motion for protective order.  </w:t>
      </w:r>
    </w:p>
    <w:p w:rsidR="0072795D" w:rsidP="00E458A7">
      <w:pPr>
        <w:spacing w:line="480" w:lineRule="auto"/>
        <w:jc w:val="both"/>
      </w:pPr>
      <w:r>
        <w:rPr>
          <w:rFonts w:eastAsia="ヒラギノ角ゴ Pro W3"/>
          <w:color w:val="000000"/>
        </w:rPr>
        <w:tab/>
        <w:t>A</w:t>
      </w:r>
      <w:r w:rsidR="00BD7A76">
        <w:rPr>
          <w:rFonts w:eastAsia="ヒラギノ角ゴ Pro W3"/>
          <w:color w:val="000000"/>
        </w:rPr>
        <w:t>ffirmed</w:t>
      </w:r>
      <w:r>
        <w:rPr>
          <w:rFonts w:eastAsia="ヒラギノ角ゴ Pro W3"/>
          <w:color w:val="000000"/>
        </w:rPr>
        <w:t>.</w:t>
      </w:r>
    </w:p>
    <w:sectPr w:rsidSect="0081097B">
      <w:footerReference w:type="even" r:id="rId5"/>
      <w:footerReference w:type="default" r:id="rId6"/>
      <w:pgSz w:w="12240" w:h="15840"/>
      <w:pgMar w:top="1440" w:right="1440" w:bottom="1296" w:left="1440" w:header="720" w:footer="662" w:gutter="0"/>
      <w:cols w:space="720"/>
      <w:noEndnote/>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loisterBlack BT">
    <w:panose1 w:val="03040802040608030504"/>
    <w:charset w:val="00"/>
    <w:family w:val="script"/>
    <w:pitch w:val="variable"/>
    <w:sig w:usb0="00000087" w:usb1="00000000" w:usb2="00000000" w:usb3="00000000" w:csb0="0000001B" w:csb1="00000000"/>
  </w:font>
  <w:font w:name="ヒラギノ角ゴ Pro W3">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05A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05A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05A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A4C42">
      <w:rPr>
        <w:rStyle w:val="PageNumber"/>
        <w:noProof/>
      </w:rPr>
      <w:t>13</w:t>
    </w:r>
    <w:r>
      <w:rPr>
        <w:rStyle w:val="PageNumber"/>
      </w:rPr>
      <w:fldChar w:fldCharType="end"/>
    </w:r>
  </w:p>
  <w:p w:rsidR="00405A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81097B">
      <w:r>
        <w:separator/>
      </w:r>
    </w:p>
  </w:footnote>
  <w:footnote w:type="continuationSeparator" w:id="1">
    <w:p w:rsidR="0081097B">
      <w:r>
        <w:continuationSeparator/>
      </w:r>
    </w:p>
  </w:footnote>
  <w:footnote w:id="2">
    <w:p w:rsidR="00B46366">
      <w:pPr>
        <w:pStyle w:val="FootnoteText"/>
      </w:pPr>
      <w:r>
        <w:rPr>
          <w:rStyle w:val="FootnoteReference"/>
        </w:rPr>
        <w:footnoteRef/>
      </w:r>
      <w:r>
        <w:t xml:space="preserve"> IME is short for “Independent Medical Examination” and CME is short for “Compulsory Medical Examination.”  </w:t>
      </w:r>
    </w:p>
  </w:footnote>
  <w:footnote w:id="3">
    <w:p w:rsidR="00B46366">
      <w:pPr>
        <w:pStyle w:val="FootnoteText"/>
      </w:pPr>
      <w:r>
        <w:rPr>
          <w:rStyle w:val="FootnoteReference"/>
        </w:rPr>
        <w:footnoteRef/>
      </w:r>
      <w:r>
        <w:t xml:space="preserve"> Orthopedic was not a party to the proceeding below.  </w:t>
      </w:r>
    </w:p>
  </w:footnote>
  <w:footnote w:id="4">
    <w:p w:rsidR="0072795D" w:rsidRPr="00C57205" w:rsidP="0072795D">
      <w:pPr>
        <w:pStyle w:val="FootnoteText"/>
        <w:rPr>
          <w:szCs w:val="28"/>
        </w:rPr>
      </w:pPr>
      <w:r w:rsidRPr="00C57205">
        <w:rPr>
          <w:rStyle w:val="FootnoteReference"/>
          <w:szCs w:val="28"/>
        </w:rPr>
        <w:footnoteRef/>
      </w:r>
      <w:r w:rsidRPr="00C57205">
        <w:rPr>
          <w:szCs w:val="28"/>
        </w:rPr>
        <w:t xml:space="preserve"> The Subpoena also requested</w:t>
      </w:r>
      <w:r w:rsidR="008A2C9B">
        <w:rPr>
          <w:szCs w:val="28"/>
        </w:rPr>
        <w:t xml:space="preserve"> the appearance of the witness with the most knowledge regarding:</w:t>
      </w:r>
      <w:r w:rsidRPr="00C57205">
        <w:rPr>
          <w:szCs w:val="28"/>
        </w:rPr>
        <w:t xml:space="preserve"> “Which of the persons or cases on the lists provided by Dr. Garcia, attached as Exhibit A involve depositions given by Dr. Garcia in worker’s compensation cases, and which were depositions given in personal injury/liability cases.”  The trial court, however, denied this request</w:t>
      </w:r>
      <w:r w:rsidR="008A2C9B">
        <w:rPr>
          <w:szCs w:val="28"/>
        </w:rPr>
        <w:t>, and this issue is not before us on appeal</w:t>
      </w:r>
      <w:r w:rsidRPr="00C57205">
        <w:rPr>
          <w:szCs w:val="28"/>
        </w:rPr>
        <w:t xml:space="preserve">. </w:t>
      </w:r>
    </w:p>
  </w:footnote>
  <w:footnote w:id="5">
    <w:p w:rsidR="0085354C" w:rsidP="0085354C">
      <w:pPr>
        <w:pStyle w:val="FootnoteText"/>
      </w:pPr>
      <w:r>
        <w:rPr>
          <w:rStyle w:val="FootnoteReference"/>
        </w:rPr>
        <w:footnoteRef/>
      </w:r>
      <w:r>
        <w:t xml:space="preserve"> The court also directed that these criteria be made part of the commentary to Florida Rule of Civil Procedure 1.280.  </w:t>
      </w:r>
    </w:p>
  </w:footnote>
  <w:footnote w:id="6">
    <w:p w:rsidR="003170C4" w:rsidP="003170C4">
      <w:pPr>
        <w:pStyle w:val="FootnoteText"/>
      </w:pPr>
      <w:r>
        <w:rPr>
          <w:rStyle w:val="FootnoteReference"/>
        </w:rPr>
        <w:footnoteRef/>
      </w:r>
      <w:r>
        <w:t xml:space="preserve"> This is not to suggest that an expert’s work as a treating physician could never be relevant or discoverable.  For example, where the expert is considered a “plaintiff’s expert” the defense might properly seek discovery regarding the number and percentage of cases in which the plaintiff’s attorney refers a client to the expert for purposes of medical treatment.  </w:t>
      </w:r>
      <w:r w:rsidRPr="003F47FE" w:rsidR="003F47FE">
        <w:rPr>
          <w:u w:val="single"/>
        </w:rPr>
        <w:t>See e.g.</w:t>
      </w:r>
      <w:r w:rsidRPr="003F47FE" w:rsidR="003F47FE">
        <w:t xml:space="preserve">, </w:t>
      </w:r>
      <w:r w:rsidRPr="003F47FE" w:rsidR="003F47FE">
        <w:rPr>
          <w:u w:val="single"/>
        </w:rPr>
        <w:t>Steinger, Iscoe &amp; Greene, P.A. v. Geico Gen. Ins. Co.</w:t>
      </w:r>
      <w:r w:rsidRPr="003F47FE" w:rsidR="003F47FE">
        <w:t>, 103 So. 3d 200 (Fla. 4th DCA 2012)</w:t>
      </w:r>
      <w:r>
        <w:t>.  We also do not ignore the fact that a plaintiff’s treating physician may</w:t>
      </w:r>
      <w:r w:rsidR="001E17B4">
        <w:t xml:space="preserve"> often</w:t>
      </w:r>
      <w:r>
        <w:t xml:space="preserve"> be characterized as a “hybrid” expert, </w:t>
      </w:r>
      <w:r w:rsidR="001E17B4">
        <w:t>in that such a witness may be</w:t>
      </w:r>
      <w:r>
        <w:t xml:space="preserve"> providing testimony on the plaintiff’s medical history and course of treatment, </w:t>
      </w:r>
      <w:r w:rsidR="001E17B4">
        <w:t>while also o</w:t>
      </w:r>
      <w:r w:rsidR="008834D7">
        <w:t xml:space="preserve">ffering </w:t>
      </w:r>
      <w:r>
        <w:t xml:space="preserve">opinions regarding future medical treatment and permanency.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9FB8F680"/>
    <w:lvl w:ilvl="0">
      <w:start w:val="1"/>
      <w:numFmt w:val="decimal"/>
      <w:lvlText w:val="%1."/>
      <w:lvlJc w:val="left"/>
      <w:pPr>
        <w:tabs>
          <w:tab w:val="num" w:pos="1800"/>
        </w:tabs>
        <w:ind w:left="1800" w:hanging="360"/>
      </w:pPr>
    </w:lvl>
  </w:abstractNum>
  <w:abstractNum w:abstractNumId="1">
    <w:nsid w:val="FFFFFF7D"/>
    <w:multiLevelType w:val="singleLevel"/>
    <w:tmpl w:val="8444A788"/>
    <w:lvl w:ilvl="0">
      <w:start w:val="1"/>
      <w:numFmt w:val="decimal"/>
      <w:lvlText w:val="%1."/>
      <w:lvlJc w:val="left"/>
      <w:pPr>
        <w:tabs>
          <w:tab w:val="num" w:pos="1440"/>
        </w:tabs>
        <w:ind w:left="1440" w:hanging="360"/>
      </w:pPr>
    </w:lvl>
  </w:abstractNum>
  <w:abstractNum w:abstractNumId="2">
    <w:nsid w:val="FFFFFF7E"/>
    <w:multiLevelType w:val="singleLevel"/>
    <w:tmpl w:val="34A4FBC6"/>
    <w:lvl w:ilvl="0">
      <w:start w:val="1"/>
      <w:numFmt w:val="decimal"/>
      <w:lvlText w:val="%1."/>
      <w:lvlJc w:val="left"/>
      <w:pPr>
        <w:tabs>
          <w:tab w:val="num" w:pos="1080"/>
        </w:tabs>
        <w:ind w:left="1080" w:hanging="360"/>
      </w:pPr>
    </w:lvl>
  </w:abstractNum>
  <w:abstractNum w:abstractNumId="3">
    <w:nsid w:val="FFFFFF7F"/>
    <w:multiLevelType w:val="singleLevel"/>
    <w:tmpl w:val="9B220A28"/>
    <w:lvl w:ilvl="0">
      <w:start w:val="1"/>
      <w:numFmt w:val="decimal"/>
      <w:lvlText w:val="%1."/>
      <w:lvlJc w:val="left"/>
      <w:pPr>
        <w:tabs>
          <w:tab w:val="num" w:pos="720"/>
        </w:tabs>
        <w:ind w:left="720" w:hanging="360"/>
      </w:pPr>
    </w:lvl>
  </w:abstractNum>
  <w:abstractNum w:abstractNumId="4">
    <w:nsid w:val="FFFFFF80"/>
    <w:multiLevelType w:val="singleLevel"/>
    <w:tmpl w:val="69BCEAC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36396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83265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683D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A0A80E"/>
    <w:lvl w:ilvl="0">
      <w:start w:val="1"/>
      <w:numFmt w:val="decimal"/>
      <w:lvlText w:val="%1."/>
      <w:lvlJc w:val="left"/>
      <w:pPr>
        <w:tabs>
          <w:tab w:val="num" w:pos="360"/>
        </w:tabs>
        <w:ind w:left="360" w:hanging="360"/>
      </w:pPr>
    </w:lvl>
  </w:abstractNum>
  <w:abstractNum w:abstractNumId="9">
    <w:nsid w:val="FFFFFF89"/>
    <w:multiLevelType w:val="singleLevel"/>
    <w:tmpl w:val="2FA08B62"/>
    <w:lvl w:ilvl="0">
      <w:start w:val="1"/>
      <w:numFmt w:val="bullet"/>
      <w:lvlText w:val=""/>
      <w:lvlJc w:val="left"/>
      <w:pPr>
        <w:tabs>
          <w:tab w:val="num" w:pos="360"/>
        </w:tabs>
        <w:ind w:left="360" w:hanging="360"/>
      </w:pPr>
      <w:rPr>
        <w:rFonts w:ascii="Symbol" w:hAnsi="Symbol" w:hint="default"/>
      </w:rPr>
    </w:lvl>
  </w:abstractNum>
  <w:abstractNum w:abstractNumId="10">
    <w:nsid w:val="0A9405A2"/>
    <w:multiLevelType w:val="hybridMultilevel"/>
    <w:tmpl w:val="27427C7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2EA1D6A"/>
    <w:multiLevelType w:val="hybridMultilevel"/>
    <w:tmpl w:val="36D8433C"/>
    <w:lvl w:ilvl="0">
      <w:start w:val="1"/>
      <w:numFmt w:val="upperRoman"/>
      <w:lvlText w:val="%1."/>
      <w:lvlJc w:val="left"/>
      <w:pPr>
        <w:ind w:left="1440" w:hanging="72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
    <w:nsid w:val="27506B52"/>
    <w:multiLevelType w:val="hybridMultilevel"/>
    <w:tmpl w:val="AF7A6E3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nsid w:val="502F51F4"/>
    <w:multiLevelType w:val="hybridMultilevel"/>
    <w:tmpl w:val="B6E2B46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efaultTabStop w:val="720"/>
  <w:drawingGridHorizontalSpacing w:val="140"/>
  <w:drawingGridVerticalSpacing w:val="381"/>
  <w:displayHorizontalDrawingGridEvery w:val="2"/>
  <w:noPunctuationKerning/>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ascii="Times New Roman" w:hAnsi="Times New Roman"/>
      <w:sz w:val="28"/>
    </w:rPr>
  </w:style>
  <w:style w:type="paragraph" w:styleId="DocumentMap">
    <w:name w:val="Document Map"/>
    <w:basedOn w:val="Normal"/>
    <w:semiHidden/>
    <w:pPr>
      <w:shd w:val="clear" w:color="auto" w:fill="000080"/>
    </w:pPr>
    <w:rPr>
      <w:rFonts w:ascii="Tahoma" w:hAnsi="Tahoma" w:cs="Tahoma"/>
      <w:sz w:val="20"/>
      <w:szCs w:val="20"/>
    </w:rPr>
  </w:style>
  <w:style w:type="paragraph" w:styleId="FootnoteText">
    <w:name w:val="footnote text"/>
    <w:basedOn w:val="Normal"/>
    <w:semiHidden/>
    <w:pPr>
      <w:jc w:val="both"/>
    </w:pPr>
    <w:rPr>
      <w:szCs w:val="20"/>
    </w:rPr>
  </w:style>
  <w:style w:type="character" w:styleId="FootnoteReference">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Opinion-Standard</Template>
  <TotalTime>0</TotalTime>
  <Pages>13</Pages>
  <Words>3021</Words>
  <Characters>15705</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NOT FINAL UNTIL TIME EXPIRES</vt:lpstr>
    </vt:vector>
  </TitlesOfParts>
  <Company/>
  <LinksUpToDate>false</LinksUpToDate>
  <CharactersWithSpaces>18689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2014-11-26T14:29:03Z</dcterms:created>
  <dcterms:modified xsi:type="dcterms:W3CDTF">2014-11-26T14:29:03Z</dcterms:modified>
</cp:coreProperties>
</file>