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3D5" w:rsidRDefault="00D9348E" w:rsidP="00D9348E">
      <w:pPr>
        <w:jc w:val="center"/>
        <w:rPr>
          <w:rFonts w:ascii="CloisterBlack BT" w:hAnsi="CloisterBlack BT"/>
          <w:sz w:val="79"/>
        </w:rPr>
      </w:pPr>
      <w:bookmarkStart w:id="0" w:name="_GoBack"/>
      <w:bookmarkEnd w:id="0"/>
      <w:r>
        <w:rPr>
          <w:rFonts w:ascii="CloisterBlack BT" w:hAnsi="CloisterBlack BT"/>
          <w:sz w:val="79"/>
        </w:rPr>
        <w:t>Supreme Court of Florida</w:t>
      </w:r>
    </w:p>
    <w:p w:rsidR="00D9348E" w:rsidRDefault="00D9348E" w:rsidP="00D9348E">
      <w:pPr>
        <w:jc w:val="center"/>
        <w:rPr>
          <w:rFonts w:ascii="CloisterBlack BT" w:hAnsi="CloisterBlack BT"/>
        </w:rPr>
      </w:pPr>
    </w:p>
    <w:p w:rsidR="00D9348E" w:rsidRDefault="00D9348E" w:rsidP="00D9348E">
      <w:pPr>
        <w:jc w:val="center"/>
        <w:rPr>
          <w:rFonts w:ascii="CloisterBlack BT" w:hAnsi="CloisterBlack BT"/>
        </w:rPr>
      </w:pPr>
    </w:p>
    <w:p w:rsidR="00D9348E" w:rsidRDefault="00D9348E" w:rsidP="00D9348E">
      <w:pPr>
        <w:jc w:val="center"/>
      </w:pPr>
      <w:r>
        <w:t>____________</w:t>
      </w:r>
    </w:p>
    <w:p w:rsidR="00D9348E" w:rsidRDefault="00D9348E" w:rsidP="00D9348E">
      <w:pPr>
        <w:jc w:val="center"/>
      </w:pPr>
    </w:p>
    <w:p w:rsidR="00D9348E" w:rsidRDefault="00D9348E" w:rsidP="00D9348E">
      <w:pPr>
        <w:jc w:val="center"/>
      </w:pPr>
      <w:r>
        <w:t>No. SC13-159</w:t>
      </w:r>
    </w:p>
    <w:p w:rsidR="00D9348E" w:rsidRDefault="00D9348E" w:rsidP="00D9348E">
      <w:pPr>
        <w:jc w:val="center"/>
      </w:pPr>
      <w:r>
        <w:t>____________</w:t>
      </w:r>
    </w:p>
    <w:p w:rsidR="00D9348E" w:rsidRDefault="00D9348E" w:rsidP="00D9348E">
      <w:pPr>
        <w:jc w:val="center"/>
      </w:pPr>
    </w:p>
    <w:p w:rsidR="00D9348E" w:rsidRDefault="00D9348E" w:rsidP="00D9348E">
      <w:pPr>
        <w:jc w:val="center"/>
      </w:pPr>
      <w:r>
        <w:rPr>
          <w:b/>
        </w:rPr>
        <w:t>LANCE KOSTER</w:t>
      </w:r>
      <w:r w:rsidR="00E33062">
        <w:rPr>
          <w:b/>
        </w:rPr>
        <w:t>,</w:t>
      </w:r>
      <w:r>
        <w:rPr>
          <w:b/>
        </w:rPr>
        <w:t xml:space="preserve"> </w:t>
      </w:r>
    </w:p>
    <w:p w:rsidR="00D9348E" w:rsidRDefault="00D9348E" w:rsidP="00D9348E">
      <w:pPr>
        <w:jc w:val="center"/>
      </w:pPr>
      <w:r>
        <w:t>Petitioner,</w:t>
      </w:r>
    </w:p>
    <w:p w:rsidR="00D9348E" w:rsidRDefault="00D9348E" w:rsidP="00D9348E">
      <w:pPr>
        <w:jc w:val="center"/>
      </w:pPr>
    </w:p>
    <w:p w:rsidR="00D9348E" w:rsidRDefault="00D9348E" w:rsidP="00D9348E">
      <w:pPr>
        <w:jc w:val="center"/>
      </w:pPr>
      <w:r>
        <w:t>vs.</w:t>
      </w:r>
    </w:p>
    <w:p w:rsidR="00D9348E" w:rsidRDefault="00D9348E" w:rsidP="00D9348E">
      <w:pPr>
        <w:jc w:val="center"/>
      </w:pPr>
    </w:p>
    <w:p w:rsidR="00D9348E" w:rsidRDefault="00D9348E" w:rsidP="00D9348E">
      <w:pPr>
        <w:jc w:val="center"/>
      </w:pPr>
      <w:r>
        <w:rPr>
          <w:b/>
        </w:rPr>
        <w:t>CAROL SULLIVAN</w:t>
      </w:r>
      <w:r w:rsidR="00E33062">
        <w:rPr>
          <w:b/>
        </w:rPr>
        <w:t>,</w:t>
      </w:r>
      <w:r>
        <w:rPr>
          <w:b/>
        </w:rPr>
        <w:t xml:space="preserve"> </w:t>
      </w:r>
    </w:p>
    <w:p w:rsidR="00D9348E" w:rsidRDefault="00D9348E" w:rsidP="00D9348E">
      <w:pPr>
        <w:jc w:val="center"/>
      </w:pPr>
      <w:r>
        <w:t>Respondent.</w:t>
      </w:r>
    </w:p>
    <w:p w:rsidR="00D9348E" w:rsidRDefault="00D9348E" w:rsidP="00D9348E">
      <w:pPr>
        <w:jc w:val="center"/>
      </w:pPr>
    </w:p>
    <w:p w:rsidR="00D9348E" w:rsidRDefault="006948FF" w:rsidP="006948FF">
      <w:pPr>
        <w:jc w:val="center"/>
      </w:pPr>
      <w:r>
        <w:t>[February 5, 2015]</w:t>
      </w:r>
    </w:p>
    <w:p w:rsidR="00D9348E" w:rsidRDefault="00D9348E" w:rsidP="00D9348E">
      <w:pPr>
        <w:jc w:val="center"/>
      </w:pPr>
    </w:p>
    <w:p w:rsidR="00D9348E" w:rsidRDefault="00D9348E" w:rsidP="00D9348E">
      <w:pPr>
        <w:spacing w:line="480" w:lineRule="auto"/>
      </w:pPr>
      <w:r>
        <w:t>LABARGA, C.J.</w:t>
      </w:r>
    </w:p>
    <w:p w:rsidR="00D9348E" w:rsidRDefault="00D9348E" w:rsidP="00D9348E">
      <w:pPr>
        <w:spacing w:line="480" w:lineRule="auto"/>
      </w:pPr>
      <w:r>
        <w:tab/>
        <w:t xml:space="preserve">This case is before the Court for review of the decision of the Second District Court of Appeal in </w:t>
      </w:r>
      <w:r w:rsidRPr="00D9348E">
        <w:rPr>
          <w:u w:val="single"/>
        </w:rPr>
        <w:t>Koster v. Sullivan</w:t>
      </w:r>
      <w:r>
        <w:t>, 103 So. 3d 882 (Fla. 2d DCA 2012).  In its decision</w:t>
      </w:r>
      <w:r w:rsidR="00EA6F3B">
        <w:t>,</w:t>
      </w:r>
      <w:r>
        <w:t xml:space="preserve"> the district court ruled upon the following question, which the court certified to be of great public importance:</w:t>
      </w:r>
    </w:p>
    <w:p w:rsidR="00D9348E" w:rsidRDefault="00D9348E" w:rsidP="00D9348E">
      <w:pPr>
        <w:ind w:left="720" w:right="720"/>
      </w:pPr>
      <w:r w:rsidRPr="002C5583">
        <w:t>IS A RETURN OF SERVICE, IN ORDER TO BE DEEMED REGULAR ON ITS FACE SUCH THAT THE PARTY SEEKING TO ESTABLISH SERVICE IS ENTITLED TO A PRESUMPTION OF VALID SERVICE, REQUIRED TO EXPRESSLY LIS</w:t>
      </w:r>
      <w:r>
        <w:t xml:space="preserve">T THE FACTORS DEFINING THE </w:t>
      </w:r>
      <w:r w:rsidRPr="002C5583">
        <w:t xml:space="preserve">“MANNER OF SERVICE” INDICATED ON THE RETURN THAT ARE OTHERWISE IDENTIFIED IN STATUTES DEFINING SERVICE BUT ARE NOT INCLUDED IN THE FACIAL LANGUAGE OF SECTION </w:t>
      </w:r>
      <w:r w:rsidRPr="009A1405">
        <w:t>48.21</w:t>
      </w:r>
      <w:r w:rsidRPr="002C5583">
        <w:t xml:space="preserve"> DEFINING INVALID SERVICE?</w:t>
      </w:r>
    </w:p>
    <w:p w:rsidR="00D9348E" w:rsidRDefault="00D9348E" w:rsidP="00D9348E">
      <w:pPr>
        <w:ind w:left="720" w:right="720"/>
      </w:pPr>
    </w:p>
    <w:p w:rsidR="00D9348E" w:rsidRDefault="00D9348E" w:rsidP="00D9348E">
      <w:pPr>
        <w:spacing w:line="480" w:lineRule="auto"/>
      </w:pPr>
      <w:r>
        <w:rPr>
          <w:u w:val="single"/>
        </w:rPr>
        <w:lastRenderedPageBreak/>
        <w:t>Id.</w:t>
      </w:r>
      <w:r>
        <w:t xml:space="preserve"> at 886-87.  We have jurisdiction.  </w:t>
      </w:r>
      <w:r>
        <w:rPr>
          <w:u w:val="single"/>
        </w:rPr>
        <w:t>See</w:t>
      </w:r>
      <w:r>
        <w:t xml:space="preserve"> art. V, § 3(b)(4), Fla. Const.  For the reasons we explain in this opinion, we answer the certified question in the negative.  We hold that a facially valid return of service is not required to expressly list the factors defining the “manner of service” contained in section 48.031</w:t>
      </w:r>
      <w:r w:rsidR="005E6F31">
        <w:t>(1)(a)</w:t>
      </w:r>
      <w:r>
        <w:t>, Florida Statutes</w:t>
      </w:r>
      <w:r w:rsidR="00CF49D5">
        <w:t xml:space="preserve"> (2009)</w:t>
      </w:r>
      <w:r>
        <w:t xml:space="preserve">, which are not included in the </w:t>
      </w:r>
      <w:r w:rsidR="00107551">
        <w:t>requirements</w:t>
      </w:r>
      <w:r>
        <w:t xml:space="preserve"> of section 48.21</w:t>
      </w:r>
      <w:r w:rsidR="009C5886">
        <w:t>, Florida Statutes</w:t>
      </w:r>
      <w:r w:rsidR="00276636">
        <w:t xml:space="preserve"> (2009</w:t>
      </w:r>
      <w:r w:rsidR="00322E30">
        <w:t>)</w:t>
      </w:r>
      <w:r w:rsidR="009C5886">
        <w:t>,</w:t>
      </w:r>
      <w:r w:rsidR="002001FD">
        <w:t xml:space="preserve"> defining </w:t>
      </w:r>
      <w:r>
        <w:t>valid</w:t>
      </w:r>
      <w:r w:rsidR="002001FD">
        <w:t xml:space="preserve"> return of</w:t>
      </w:r>
      <w:r>
        <w:t xml:space="preserve"> service.</w:t>
      </w:r>
    </w:p>
    <w:p w:rsidR="009C5886" w:rsidRPr="00AF2B5F" w:rsidRDefault="009C5886" w:rsidP="009C5886">
      <w:pPr>
        <w:spacing w:line="480" w:lineRule="auto"/>
        <w:jc w:val="center"/>
        <w:rPr>
          <w:b/>
        </w:rPr>
      </w:pPr>
      <w:r w:rsidRPr="00AF2B5F">
        <w:rPr>
          <w:b/>
        </w:rPr>
        <w:t>FACTS AND PROCEDURAL BACKGROUND</w:t>
      </w:r>
    </w:p>
    <w:p w:rsidR="009C5886" w:rsidRDefault="009C5886" w:rsidP="009C5886">
      <w:pPr>
        <w:spacing w:line="480" w:lineRule="auto"/>
      </w:pPr>
      <w:r>
        <w:tab/>
      </w:r>
      <w:r w:rsidR="005E423D">
        <w:t xml:space="preserve">This case arose as a result of </w:t>
      </w:r>
      <w:r w:rsidR="00E20AAC">
        <w:t xml:space="preserve">a complaint filed by </w:t>
      </w:r>
      <w:r w:rsidR="005E423D">
        <w:t>Carol Sullivan against Lance Koster.  On November 7, 2009, a process server delivered a summons and a copy of the complaint to Koster’s residence.  Koster was not home at the time, and the documents were left with Koster’s sister-in-law, Pat Hasse</w:t>
      </w:r>
      <w:r w:rsidR="006F269C">
        <w:t>t</w:t>
      </w:r>
      <w:r w:rsidR="005E423D">
        <w:t>t, who was present in the home when the delivery was made.  When Koster did not file an answer or other responsive pleadings, a clerk’s default was entered against him.  Koster failed to appear at the hearing on Sul</w:t>
      </w:r>
      <w:r w:rsidR="00A8694E">
        <w:t>l</w:t>
      </w:r>
      <w:r w:rsidR="005E423D">
        <w:t>ivan’s motion for final default judgment</w:t>
      </w:r>
      <w:r w:rsidR="00203888">
        <w:t>, but he</w:t>
      </w:r>
      <w:r w:rsidR="005E423D">
        <w:t xml:space="preserve"> subsequently filed a motion to set aside the default, set aside the final default judgment, and quash service </w:t>
      </w:r>
      <w:r w:rsidR="00A8694E">
        <w:t>of process on the bases that</w:t>
      </w:r>
      <w:r w:rsidR="005E423D">
        <w:t xml:space="preserve"> service was defective and that the return of serv</w:t>
      </w:r>
      <w:r w:rsidR="00AA46BB">
        <w:t>ice was defective on its face.</w:t>
      </w:r>
    </w:p>
    <w:p w:rsidR="00C06989" w:rsidRDefault="003569DE" w:rsidP="00C06989">
      <w:pPr>
        <w:spacing w:line="480" w:lineRule="auto"/>
      </w:pPr>
      <w:r>
        <w:tab/>
        <w:t>The trial court held an evidentiary hearing and determined that the return of ser</w:t>
      </w:r>
      <w:r w:rsidR="00497A9B">
        <w:t xml:space="preserve">vice was not facially defective, </w:t>
      </w:r>
      <w:r w:rsidR="008A06B1">
        <w:t xml:space="preserve">thus </w:t>
      </w:r>
      <w:r w:rsidR="00497A9B">
        <w:t xml:space="preserve">giving rise to </w:t>
      </w:r>
      <w:r>
        <w:t xml:space="preserve">the presumption that service was properly made based on the facial regularity of the return.  </w:t>
      </w:r>
      <w:r w:rsidR="00497A9B">
        <w:t>The</w:t>
      </w:r>
      <w:r w:rsidR="00C06989">
        <w:t xml:space="preserve"> evidence </w:t>
      </w:r>
      <w:r w:rsidR="00C06989">
        <w:lastRenderedPageBreak/>
        <w:t>presented at the hearing conflicted as to whether Koster’s sister-in-law actually resided at the address served and was therefore capable of accepting service on Koster’s behalf.  Additionally, Koster’s sister-in-law could not testify that</w:t>
      </w:r>
      <w:r w:rsidR="003963B8">
        <w:t>,</w:t>
      </w:r>
      <w:r w:rsidR="00C06989">
        <w:t xml:space="preserve"> at the time of service</w:t>
      </w:r>
      <w:r w:rsidR="003963B8">
        <w:t>,</w:t>
      </w:r>
      <w:r w:rsidR="00C06989">
        <w:t xml:space="preserve"> the process server did not explain the contents of the documents to her.  </w:t>
      </w:r>
      <w:r w:rsidR="00497A9B">
        <w:t>Therefore, the trial court concluded that Koster did not meet the clear and convincing evidence standard to rebut the presumption that service was proper</w:t>
      </w:r>
      <w:r w:rsidR="00053040">
        <w:t xml:space="preserve"> and denied his motion</w:t>
      </w:r>
      <w:r w:rsidR="00497A9B">
        <w:t>.</w:t>
      </w:r>
    </w:p>
    <w:p w:rsidR="00D33512" w:rsidRPr="007E2472" w:rsidRDefault="00C06989" w:rsidP="00DA2445">
      <w:pPr>
        <w:spacing w:line="480" w:lineRule="auto"/>
        <w:ind w:firstLine="720"/>
      </w:pPr>
      <w:r>
        <w:t xml:space="preserve">Koster appealed </w:t>
      </w:r>
      <w:r w:rsidR="006B054E">
        <w:t>the trial court’s decision</w:t>
      </w:r>
      <w:r>
        <w:t xml:space="preserve"> to the Second District Court of Appeal</w:t>
      </w:r>
      <w:r w:rsidR="00263586">
        <w:t xml:space="preserve"> challenging the denial of his motion</w:t>
      </w:r>
      <w:r>
        <w:t xml:space="preserve">.  </w:t>
      </w:r>
      <w:r w:rsidR="0000421B">
        <w:t xml:space="preserve">Because the return of service met the textual requirements of section 48.21, the Second District stated </w:t>
      </w:r>
      <w:r w:rsidR="007F24C9">
        <w:t xml:space="preserve">that </w:t>
      </w:r>
      <w:r w:rsidR="0000421B">
        <w:t>the issue was whether meeting the requirements of that section included listing the elements of the “manner of service”</w:t>
      </w:r>
      <w:r w:rsidR="0025484A">
        <w:t xml:space="preserve"> from section 48.031(1)(a) to e</w:t>
      </w:r>
      <w:r w:rsidR="0000421B">
        <w:t>stablish that the return was regular on its face.</w:t>
      </w:r>
      <w:r w:rsidR="00BF53CA">
        <w:t xml:space="preserve">  </w:t>
      </w:r>
      <w:r w:rsidR="00BF53CA" w:rsidRPr="00843777">
        <w:rPr>
          <w:u w:val="single"/>
        </w:rPr>
        <w:t>Koster</w:t>
      </w:r>
      <w:r w:rsidR="00BF53CA">
        <w:t>, 103 So. 3d at 885.</w:t>
      </w:r>
      <w:r w:rsidR="0000421B">
        <w:t xml:space="preserve">  </w:t>
      </w:r>
      <w:r w:rsidR="00D33512">
        <w:t>The district court rejected Koster’s argument that in</w:t>
      </w:r>
      <w:r w:rsidR="00DA2445">
        <w:t xml:space="preserve"> </w:t>
      </w:r>
      <w:r w:rsidR="00D33512">
        <w:t>specifying the manner of service under</w:t>
      </w:r>
      <w:r w:rsidR="00B43CEA">
        <w:t xml:space="preserve"> section</w:t>
      </w:r>
      <w:r w:rsidR="00D33512">
        <w:t xml:space="preserve"> </w:t>
      </w:r>
      <w:r w:rsidR="00D33512" w:rsidRPr="00AF2B5F">
        <w:t>48.21</w:t>
      </w:r>
      <w:r w:rsidR="00FC5120">
        <w:t>,</w:t>
      </w:r>
      <w:r w:rsidR="006E03D7">
        <w:t xml:space="preserve"> </w:t>
      </w:r>
      <w:r w:rsidR="00D33512">
        <w:t xml:space="preserve">the process server was also required to </w:t>
      </w:r>
      <w:r w:rsidR="005527DE">
        <w:t>list</w:t>
      </w:r>
      <w:r w:rsidR="00D33512">
        <w:t xml:space="preserve"> the specific factors for substitute service under </w:t>
      </w:r>
      <w:r w:rsidR="00B43CEA">
        <w:t xml:space="preserve">section </w:t>
      </w:r>
      <w:r w:rsidR="00D33512" w:rsidRPr="00AF2B5F">
        <w:t>48.031</w:t>
      </w:r>
      <w:r w:rsidR="006E03D7">
        <w:t>(1)(a)</w:t>
      </w:r>
      <w:r w:rsidR="00D33512">
        <w:t>.</w:t>
      </w:r>
      <w:r w:rsidR="00843777">
        <w:t xml:space="preserve">  </w:t>
      </w:r>
      <w:r w:rsidR="00843777">
        <w:rPr>
          <w:u w:val="single"/>
        </w:rPr>
        <w:t>Id.</w:t>
      </w:r>
      <w:r w:rsidR="005D6834">
        <w:t xml:space="preserve"> at 886</w:t>
      </w:r>
      <w:r w:rsidR="00843777">
        <w:t>.</w:t>
      </w:r>
      <w:r w:rsidR="006241D2">
        <w:t xml:space="preserve">  The court </w:t>
      </w:r>
      <w:r w:rsidR="00FC5120">
        <w:t>added</w:t>
      </w:r>
      <w:r w:rsidR="00D33512">
        <w:t xml:space="preserve">: “But the determination that a return is regular on </w:t>
      </w:r>
      <w:r w:rsidR="00B43CEA">
        <w:t xml:space="preserve">its </w:t>
      </w:r>
      <w:r w:rsidR="00D33512">
        <w:t xml:space="preserve">face, no matter what type of service, is governed only by the language of section </w:t>
      </w:r>
      <w:r w:rsidR="00D33512" w:rsidRPr="00AF2B5F">
        <w:t>48.21</w:t>
      </w:r>
      <w:r w:rsidR="00D33512">
        <w:t xml:space="preserve"> and does not require express reference to section 48.031(1)(a) or any other statute that serves to define a specified manner of service.”  </w:t>
      </w:r>
      <w:r w:rsidR="003551C5" w:rsidRPr="003551C5">
        <w:rPr>
          <w:u w:val="single"/>
        </w:rPr>
        <w:t>Id.</w:t>
      </w:r>
      <w:r w:rsidR="00D33512">
        <w:t xml:space="preserve"> </w:t>
      </w:r>
      <w:r w:rsidR="005D6834">
        <w:t xml:space="preserve">at 885.  </w:t>
      </w:r>
      <w:r w:rsidR="00734452">
        <w:t xml:space="preserve">The court noted that </w:t>
      </w:r>
      <w:r w:rsidR="007E2472">
        <w:t xml:space="preserve">evidence that any of the factors listed in </w:t>
      </w:r>
      <w:r w:rsidR="007E2472">
        <w:lastRenderedPageBreak/>
        <w:t>section 48.031</w:t>
      </w:r>
      <w:r w:rsidR="00A13EBD">
        <w:t>(1)(a)</w:t>
      </w:r>
      <w:r w:rsidR="007E2472">
        <w:t xml:space="preserve"> were not present in the service could be used by Koster</w:t>
      </w:r>
      <w:r w:rsidR="00FB10B2">
        <w:t xml:space="preserve"> in rebutting the presumption of service</w:t>
      </w:r>
      <w:r w:rsidR="003D7F3C">
        <w:t>;</w:t>
      </w:r>
      <w:r w:rsidR="00734452">
        <w:t xml:space="preserve"> however,</w:t>
      </w:r>
      <w:r w:rsidR="007E2472">
        <w:t xml:space="preserve"> a strict construction of section 48.21 did not require an explicit ide</w:t>
      </w:r>
      <w:r w:rsidR="00D34093">
        <w:t>ntific</w:t>
      </w:r>
      <w:r w:rsidR="007E2472">
        <w:t xml:space="preserve">ation of those factors in the return of service.  </w:t>
      </w:r>
      <w:r w:rsidR="007E2472">
        <w:rPr>
          <w:u w:val="single"/>
        </w:rPr>
        <w:t>Id.</w:t>
      </w:r>
    </w:p>
    <w:p w:rsidR="00D33512" w:rsidRDefault="00D33512" w:rsidP="00D33512">
      <w:pPr>
        <w:spacing w:line="480" w:lineRule="auto"/>
      </w:pPr>
      <w:r>
        <w:tab/>
      </w:r>
      <w:r w:rsidR="00EA6F3B">
        <w:t>T</w:t>
      </w:r>
      <w:r>
        <w:t>he district court certified conflict with three decisions</w:t>
      </w:r>
      <w:r w:rsidR="00204053">
        <w:rPr>
          <w:rStyle w:val="FootnoteReference"/>
        </w:rPr>
        <w:footnoteReference w:id="1"/>
      </w:r>
      <w:r>
        <w:t xml:space="preserve"> from the Third District</w:t>
      </w:r>
      <w:r w:rsidR="001E3612">
        <w:t xml:space="preserve"> Court of Appeal</w:t>
      </w:r>
      <w:r>
        <w:t xml:space="preserve"> and certified the </w:t>
      </w:r>
      <w:r w:rsidR="00F14E01">
        <w:t xml:space="preserve">above </w:t>
      </w:r>
      <w:r>
        <w:t>question as</w:t>
      </w:r>
      <w:r w:rsidR="00F14E01">
        <w:t xml:space="preserve"> one of great public importance.</w:t>
      </w:r>
      <w:r w:rsidR="00BF2117">
        <w:t xml:space="preserve"> </w:t>
      </w:r>
      <w:r w:rsidR="00F14E01">
        <w:t xml:space="preserve"> </w:t>
      </w:r>
      <w:r w:rsidRPr="00AC65B3">
        <w:rPr>
          <w:u w:val="single"/>
        </w:rPr>
        <w:t>Id.</w:t>
      </w:r>
      <w:r>
        <w:t xml:space="preserve"> at 886-87.</w:t>
      </w:r>
      <w:r w:rsidR="00CD7F04">
        <w:t xml:space="preserve">  We granted review based on</w:t>
      </w:r>
      <w:r w:rsidR="00935D45">
        <w:t xml:space="preserve"> the</w:t>
      </w:r>
      <w:r w:rsidR="00CD7F04">
        <w:t xml:space="preserve"> certified question.</w:t>
      </w:r>
    </w:p>
    <w:p w:rsidR="00D33512" w:rsidRDefault="00D33512" w:rsidP="00D33512">
      <w:pPr>
        <w:spacing w:line="480" w:lineRule="auto"/>
        <w:jc w:val="center"/>
        <w:rPr>
          <w:b/>
        </w:rPr>
      </w:pPr>
      <w:r w:rsidRPr="00AF2B5F">
        <w:rPr>
          <w:b/>
        </w:rPr>
        <w:t>ANALYSIS</w:t>
      </w:r>
    </w:p>
    <w:p w:rsidR="00160145" w:rsidRDefault="00D33512" w:rsidP="00D33512">
      <w:pPr>
        <w:spacing w:line="480" w:lineRule="auto"/>
      </w:pPr>
      <w:r>
        <w:rPr>
          <w:b/>
        </w:rPr>
        <w:tab/>
      </w:r>
      <w:r w:rsidRPr="00711461">
        <w:t>Two statutes are at issue in this case.  Section 48.21 governs the return of execution of process, and section 48.031</w:t>
      </w:r>
      <w:r w:rsidR="00E50DA9">
        <w:t>(1)(a)</w:t>
      </w:r>
      <w:r w:rsidRPr="00711461">
        <w:t xml:space="preserve"> governs service of process generally.  In sum, Koster</w:t>
      </w:r>
      <w:r>
        <w:t xml:space="preserve"> argues</w:t>
      </w:r>
      <w:r w:rsidRPr="00711461">
        <w:t xml:space="preserve"> that a valid return of service under section 48.21 requires the express inclusion of the factors contained in section 48.031</w:t>
      </w:r>
      <w:r w:rsidR="004D0E71">
        <w:t>(1)(a)</w:t>
      </w:r>
      <w:r w:rsidR="00EA6F3B">
        <w:t>.</w:t>
      </w:r>
    </w:p>
    <w:p w:rsidR="00D33512" w:rsidRDefault="00D33512" w:rsidP="00D33512">
      <w:pPr>
        <w:spacing w:line="480" w:lineRule="auto"/>
        <w:jc w:val="center"/>
        <w:rPr>
          <w:b/>
        </w:rPr>
      </w:pPr>
      <w:r w:rsidRPr="00BF29CD">
        <w:rPr>
          <w:b/>
        </w:rPr>
        <w:t>Relevant Statutes</w:t>
      </w:r>
      <w:r w:rsidR="00D05555">
        <w:rPr>
          <w:b/>
        </w:rPr>
        <w:t xml:space="preserve"> and Standard of Review</w:t>
      </w:r>
    </w:p>
    <w:p w:rsidR="00032E8E" w:rsidRPr="00032E8E" w:rsidRDefault="00032E8E" w:rsidP="00032E8E">
      <w:pPr>
        <w:spacing w:line="480" w:lineRule="auto"/>
      </w:pPr>
      <w:r>
        <w:tab/>
        <w:t xml:space="preserve">When process was served in this case, section 48.21 </w:t>
      </w:r>
      <w:r w:rsidR="00A65437">
        <w:t>provided</w:t>
      </w:r>
      <w:r>
        <w:t xml:space="preserve"> as follows:</w:t>
      </w:r>
    </w:p>
    <w:p w:rsidR="00D33512" w:rsidRDefault="00D33512" w:rsidP="00D33512">
      <w:pPr>
        <w:ind w:left="720" w:right="720" w:firstLine="720"/>
      </w:pPr>
      <w:r w:rsidRPr="00AF2B5F">
        <w:rPr>
          <w:b/>
        </w:rPr>
        <w:t>48.21</w:t>
      </w:r>
      <w:r w:rsidRPr="00143A24">
        <w:rPr>
          <w:b/>
        </w:rPr>
        <w:tab/>
        <w:t>Return of execution of process.</w:t>
      </w:r>
      <w:r>
        <w:rPr>
          <w:b/>
        </w:rPr>
        <w:t xml:space="preserve"> </w:t>
      </w:r>
      <w:r w:rsidRPr="00143A24">
        <w:rPr>
          <w:b/>
        </w:rPr>
        <w:t>—</w:t>
      </w:r>
      <w:r>
        <w:t xml:space="preserve"> Each person who effects service of process shall note on a return-of-service form attached thereto, the date and time when it comes to hand, the date and time when it is served, the manner of service, the name of the person on whom it was served and, if the person is served in a representative capacity, the p</w:t>
      </w:r>
      <w:r w:rsidR="00AA46BB">
        <w:t>osition occupied by the person.</w:t>
      </w:r>
    </w:p>
    <w:p w:rsidR="00D33512" w:rsidRDefault="00D33512" w:rsidP="00D33512">
      <w:pPr>
        <w:ind w:left="720" w:right="720"/>
      </w:pPr>
      <w:r>
        <w:t xml:space="preserve">A failure to state the </w:t>
      </w:r>
      <w:r w:rsidRPr="00CA0CB4">
        <w:t>foregoing</w:t>
      </w:r>
      <w:r>
        <w:t xml:space="preserve"> facts invalidates the service, but the return is amendable to state the </w:t>
      </w:r>
      <w:r w:rsidRPr="00CA0CB4">
        <w:t>truth</w:t>
      </w:r>
      <w:r>
        <w:t xml:space="preserve"> at any time on application to the court from which the process issued.  On amendment, service is as effective as if the return had originally stated the omitted facts.  A failure to state all the facts in the return shall subject the person effecting service to a fine not exceeding $10, in the court’s discretion.</w:t>
      </w:r>
      <w:r>
        <w:rPr>
          <w:rStyle w:val="FootnoteReference"/>
        </w:rPr>
        <w:footnoteReference w:id="2"/>
      </w:r>
    </w:p>
    <w:p w:rsidR="00D33512" w:rsidRDefault="00D33512" w:rsidP="00D33512">
      <w:pPr>
        <w:ind w:left="720" w:right="720"/>
      </w:pPr>
    </w:p>
    <w:p w:rsidR="00CC7FBD" w:rsidRDefault="00CC7FBD" w:rsidP="00CC7FBD">
      <w:pPr>
        <w:ind w:right="720"/>
      </w:pPr>
      <w:r>
        <w:t xml:space="preserve">§ 48.21, Fla. Stat. (2009).  The pertinent portion of section 48.031 </w:t>
      </w:r>
      <w:r w:rsidR="009E4606">
        <w:t>provided</w:t>
      </w:r>
      <w:r>
        <w:t>:</w:t>
      </w:r>
    </w:p>
    <w:p w:rsidR="00CC7FBD" w:rsidRDefault="00CC7FBD" w:rsidP="00CC7FBD">
      <w:pPr>
        <w:ind w:right="720"/>
      </w:pPr>
    </w:p>
    <w:p w:rsidR="00D33512" w:rsidRPr="00143A24" w:rsidRDefault="00D33512" w:rsidP="00D33512">
      <w:pPr>
        <w:ind w:left="720" w:right="720" w:firstLine="720"/>
        <w:rPr>
          <w:b/>
        </w:rPr>
      </w:pPr>
      <w:r w:rsidRPr="00AF2B5F">
        <w:rPr>
          <w:b/>
        </w:rPr>
        <w:t>48.031</w:t>
      </w:r>
      <w:r w:rsidRPr="00143A24">
        <w:rPr>
          <w:b/>
        </w:rPr>
        <w:t xml:space="preserve"> Service of process generally; service of witness subpoenas. — </w:t>
      </w:r>
    </w:p>
    <w:p w:rsidR="00574A20" w:rsidRDefault="00D33512" w:rsidP="007F1A84">
      <w:pPr>
        <w:ind w:left="720" w:right="720" w:firstLine="720"/>
      </w:pPr>
      <w:r>
        <w:t xml:space="preserve">(1)(a) </w:t>
      </w:r>
      <w:r>
        <w:tab/>
        <w:t xml:space="preserve"> Service of original process is made by delivering a copy of it to the person to be served with a copy of the complaint</w:t>
      </w:r>
      <w:r w:rsidR="00AE3DCE">
        <w:t>,</w:t>
      </w:r>
      <w:r>
        <w:t xml:space="preserve"> petition, or other initial pleading or paper or by leaving the copies at his</w:t>
      </w:r>
      <w:r w:rsidR="00AE3DCE">
        <w:t xml:space="preserve"> or her</w:t>
      </w:r>
      <w:r>
        <w:t xml:space="preserve"> usual place of abode with any person residing therein who is 15 years of age or older and informing the person of their contents.  Minors who are or have been married shall be served as provided in this section.</w:t>
      </w:r>
    </w:p>
    <w:p w:rsidR="00574A20" w:rsidRDefault="00574A20" w:rsidP="00D33512">
      <w:pPr>
        <w:ind w:left="720" w:right="720" w:firstLine="720"/>
      </w:pPr>
    </w:p>
    <w:p w:rsidR="00CC7FBD" w:rsidRDefault="00CC7FBD" w:rsidP="00CC7FBD">
      <w:pPr>
        <w:spacing w:line="480" w:lineRule="auto"/>
      </w:pPr>
      <w:r>
        <w:t>§ 48.031(1)(a), Fla. Stat. (2009).</w:t>
      </w:r>
    </w:p>
    <w:p w:rsidR="00D33512" w:rsidRPr="007F26C3" w:rsidRDefault="00D33512" w:rsidP="004A799A">
      <w:pPr>
        <w:spacing w:line="480" w:lineRule="auto"/>
        <w:ind w:firstLine="720"/>
      </w:pPr>
      <w:r>
        <w:t xml:space="preserve">The certified question involves the interpretation of section </w:t>
      </w:r>
      <w:r w:rsidRPr="00F45FA9">
        <w:t>48.21</w:t>
      </w:r>
      <w:r w:rsidR="001A49E7">
        <w:t xml:space="preserve"> and, m</w:t>
      </w:r>
      <w:r>
        <w:t>ore specifically, requires this Court to determine whether</w:t>
      </w:r>
      <w:r w:rsidR="00E93A96">
        <w:t>,</w:t>
      </w:r>
      <w:r>
        <w:t xml:space="preserve"> in addition to the requirements of section </w:t>
      </w:r>
      <w:r w:rsidRPr="00F45FA9">
        <w:t>48.21</w:t>
      </w:r>
      <w:r>
        <w:t xml:space="preserve">, a facially valid return of service must also include the </w:t>
      </w:r>
      <w:r w:rsidR="007A4D25">
        <w:t>factors</w:t>
      </w:r>
      <w:r>
        <w:t xml:space="preserve"> relating to manner of service under section </w:t>
      </w:r>
      <w:r w:rsidRPr="00F45FA9">
        <w:t>48.031</w:t>
      </w:r>
      <w:r w:rsidR="006B6FFF">
        <w:t>(1)(a)</w:t>
      </w:r>
      <w:r>
        <w:t>.  Because the certified question involves the interpretation of a Florida statute,</w:t>
      </w:r>
      <w:r w:rsidR="00E13B27">
        <w:t xml:space="preserve"> </w:t>
      </w:r>
      <w:r>
        <w:t>the proper st</w:t>
      </w:r>
      <w:r w:rsidR="002F5281">
        <w:t xml:space="preserve">andard of review is de novo.  </w:t>
      </w:r>
      <w:r w:rsidRPr="00F45FA9">
        <w:rPr>
          <w:u w:val="single"/>
        </w:rPr>
        <w:t>See</w:t>
      </w:r>
      <w:r w:rsidRPr="00F45FA9">
        <w:t xml:space="preserve"> </w:t>
      </w:r>
      <w:r w:rsidRPr="00F45FA9">
        <w:rPr>
          <w:u w:val="single"/>
        </w:rPr>
        <w:t>Tasker v. State</w:t>
      </w:r>
      <w:r>
        <w:t>, 48 So. 3d 798, 804 (Fla. 2010).</w:t>
      </w:r>
    </w:p>
    <w:p w:rsidR="00D33512" w:rsidRPr="00BF29CD" w:rsidRDefault="00B518FB" w:rsidP="00D33512">
      <w:pPr>
        <w:spacing w:line="480" w:lineRule="auto"/>
        <w:jc w:val="center"/>
        <w:rPr>
          <w:b/>
        </w:rPr>
      </w:pPr>
      <w:r>
        <w:rPr>
          <w:b/>
        </w:rPr>
        <w:t>Service of Process and</w:t>
      </w:r>
      <w:r w:rsidR="00D33512" w:rsidRPr="00BF29CD">
        <w:rPr>
          <w:b/>
        </w:rPr>
        <w:t xml:space="preserve"> Returns of Service</w:t>
      </w:r>
    </w:p>
    <w:p w:rsidR="00D33512" w:rsidRDefault="00D33512" w:rsidP="00D33512">
      <w:pPr>
        <w:spacing w:line="480" w:lineRule="auto"/>
        <w:ind w:firstLine="720"/>
      </w:pPr>
      <w:r>
        <w:t xml:space="preserve">Statutes governing service of process must be strictly construed and </w:t>
      </w:r>
      <w:r w:rsidR="00894BB8">
        <w:t>enforced</w:t>
      </w:r>
      <w:r>
        <w:t xml:space="preserve">.  </w:t>
      </w:r>
      <w:r w:rsidRPr="001741E8">
        <w:rPr>
          <w:u w:val="single"/>
        </w:rPr>
        <w:t>Shurman v. Atl. Mortg. &amp; Inv. Corp.</w:t>
      </w:r>
      <w:r>
        <w:t>, 795 So. 2d 952, 954 (Fla. 2001).  This Court has explained: “</w:t>
      </w:r>
      <w:r w:rsidRPr="004B0A7A">
        <w:t xml:space="preserve">The doctrine that no person shall be deprived of property unless by due process of law, reiterated in </w:t>
      </w:r>
      <w:r>
        <w:t>all American constitutions,</w:t>
      </w:r>
      <w:r w:rsidRPr="004B0A7A">
        <w:t xml:space="preserve"> gives every person the right to demand that the law shall be strictly complied with in all proceedings which may affect his title to his property.</w:t>
      </w:r>
      <w:r>
        <w:t xml:space="preserve">”  </w:t>
      </w:r>
      <w:r w:rsidRPr="001741E8">
        <w:rPr>
          <w:u w:val="single"/>
        </w:rPr>
        <w:t>Standley v. Arnow</w:t>
      </w:r>
      <w:r>
        <w:t>, 13 Fla. 361, 365-66 (Fla. 1869).  An essential part of this due process protection is that a court that seeks to enter and subsequently enforce a judgment against an individual “</w:t>
      </w:r>
      <w:r w:rsidRPr="00AB100A">
        <w:t>must have jurisdiction of the subject matter and of the pers</w:t>
      </w:r>
      <w:r>
        <w:t xml:space="preserve">ons affected.  </w:t>
      </w:r>
      <w:r w:rsidRPr="00AB100A">
        <w:t xml:space="preserve">A defect in the jurisdiction of the court may render its proceedings void. </w:t>
      </w:r>
      <w:r>
        <w:t xml:space="preserve"> </w:t>
      </w:r>
      <w:r w:rsidRPr="00AB100A">
        <w:t>Where the statutes point out the mode of acquiring jurisdiction over the person, it must be strictly pursued.</w:t>
      </w:r>
      <w:r>
        <w:t xml:space="preserve">”  </w:t>
      </w:r>
      <w:r w:rsidRPr="001741E8">
        <w:rPr>
          <w:u w:val="single"/>
        </w:rPr>
        <w:t>Id.</w:t>
      </w:r>
      <w:r>
        <w:t xml:space="preserve"> at 366.  </w:t>
      </w:r>
      <w:r w:rsidR="00046818">
        <w:t>However, “strict construction” does not support reading additional requirements into the express language of a statute.</w:t>
      </w:r>
    </w:p>
    <w:p w:rsidR="00D33512" w:rsidRDefault="00D33512" w:rsidP="00D33512">
      <w:pPr>
        <w:spacing w:line="480" w:lineRule="auto"/>
        <w:ind w:firstLine="720"/>
      </w:pPr>
      <w:r>
        <w:t xml:space="preserve">The return of service is the instrument a court relies </w:t>
      </w:r>
      <w:r w:rsidR="001A49E7">
        <w:t xml:space="preserve">on </w:t>
      </w:r>
      <w:r>
        <w:t xml:space="preserve">to determine whether jurisdiction over an individual has been established.  </w:t>
      </w:r>
      <w:r w:rsidRPr="001741E8">
        <w:rPr>
          <w:u w:val="single"/>
        </w:rPr>
        <w:t>See</w:t>
      </w:r>
      <w:r w:rsidRPr="001741E8">
        <w:t xml:space="preserve"> </w:t>
      </w:r>
      <w:r w:rsidRPr="001741E8">
        <w:rPr>
          <w:u w:val="single"/>
        </w:rPr>
        <w:t>Klosenski v. Flaherty</w:t>
      </w:r>
      <w:r>
        <w:t>, 116 So. 2d 767, 768</w:t>
      </w:r>
      <w:r w:rsidR="00245902">
        <w:t>-69</w:t>
      </w:r>
      <w:r>
        <w:t xml:space="preserve"> (Fla. 1959) (“</w:t>
      </w:r>
      <w:r w:rsidRPr="00670F45">
        <w:t>Many other decisions of this court show clearly that the o</w:t>
      </w:r>
      <w:r>
        <w:t>fficer’</w:t>
      </w:r>
      <w:r w:rsidRPr="00670F45">
        <w:t>s r</w:t>
      </w:r>
      <w:r>
        <w:t>eturn is no part of the service—</w:t>
      </w:r>
      <w:r w:rsidRPr="00670F45">
        <w:t>eith</w:t>
      </w:r>
      <w:r>
        <w:t>er to add to or detract from it—</w:t>
      </w:r>
      <w:r w:rsidRPr="00670F45">
        <w:t>but is merely evidence to enable the trial judge to conclude that the court has acquired jurisdiction of the person of the defendant, or has not done so, as the case may be.</w:t>
      </w:r>
      <w:r>
        <w:t xml:space="preserve">”). </w:t>
      </w:r>
      <w:r w:rsidR="00245902">
        <w:t xml:space="preserve"> </w:t>
      </w:r>
      <w:r>
        <w:t xml:space="preserve">This </w:t>
      </w:r>
      <w:r w:rsidR="00860CDB">
        <w:t>Court has further explained</w:t>
      </w:r>
      <w:r w:rsidR="00AA46BB">
        <w:t>:</w:t>
      </w:r>
    </w:p>
    <w:p w:rsidR="00D33512" w:rsidRDefault="00D33512" w:rsidP="00D33512">
      <w:pPr>
        <w:ind w:left="720" w:right="720"/>
      </w:pPr>
      <w:r>
        <w:t>I</w:t>
      </w:r>
      <w:r w:rsidRPr="00670F45">
        <w:t xml:space="preserve">f the return is </w:t>
      </w:r>
      <w:r w:rsidR="002C1058">
        <w:t>regular on its face, it serves “</w:t>
      </w:r>
      <w:r w:rsidRPr="00670F45">
        <w:t>as a virtual basis for the Court to assume that it has lawfully obtained jurisdiction ov</w:t>
      </w:r>
      <w:r w:rsidR="002C1058">
        <w:t>er the person of the defendant,”</w:t>
      </w:r>
      <w:r w:rsidRPr="00670F45">
        <w:t xml:space="preserve"> </w:t>
      </w:r>
      <w:r w:rsidR="001A49E7">
        <w:t>[</w:t>
      </w:r>
      <w:r w:rsidR="001A49E7" w:rsidRPr="00670F45">
        <w:rPr>
          <w:u w:val="single"/>
        </w:rPr>
        <w:t>Rorick v. Stilwell</w:t>
      </w:r>
      <w:r w:rsidR="001A49E7" w:rsidRPr="00670F45">
        <w:t>, 133 So. 609, 610</w:t>
      </w:r>
      <w:r w:rsidR="001A49E7">
        <w:t xml:space="preserve"> (Fla. 1931)]</w:t>
      </w:r>
      <w:r w:rsidR="001A49E7" w:rsidRPr="00670F45">
        <w:t xml:space="preserve">, </w:t>
      </w:r>
      <w:r w:rsidRPr="00670F45">
        <w:t xml:space="preserve">for the purpose of entering judgment by default against such defendant. </w:t>
      </w:r>
      <w:r>
        <w:t xml:space="preserve"> </w:t>
      </w:r>
      <w:r w:rsidRPr="00670F45">
        <w:t>If, however, the retur</w:t>
      </w:r>
      <w:r w:rsidR="002C1058">
        <w:t>n is defective on its face, it “</w:t>
      </w:r>
      <w:r w:rsidRPr="00670F45">
        <w:t>cannot be relied upon as evidence that the court acquired jurisdiction over the person of the defendant to w</w:t>
      </w:r>
      <w:r w:rsidR="002C1058">
        <w:t>hom said subpoena was directed,”</w:t>
      </w:r>
      <w:r w:rsidRPr="00670F45">
        <w:t xml:space="preserve"> </w:t>
      </w:r>
      <w:r w:rsidR="001A49E7">
        <w:t>[</w:t>
      </w:r>
      <w:r w:rsidR="001A49E7" w:rsidRPr="00670F45">
        <w:rPr>
          <w:u w:val="single"/>
        </w:rPr>
        <w:t>Gibbens v. Pickett</w:t>
      </w:r>
      <w:r w:rsidR="001A49E7">
        <w:t>, 12 So. 17, 18 (Fla. 1893)]</w:t>
      </w:r>
      <w:r w:rsidR="001A49E7" w:rsidRPr="00670F45">
        <w:t xml:space="preserve">, </w:t>
      </w:r>
      <w:r w:rsidRPr="00670F45">
        <w:t xml:space="preserve">so that a decree pro confesso entered upon the basis of such a return should be set aside. </w:t>
      </w:r>
      <w:r>
        <w:t xml:space="preserve"> </w:t>
      </w:r>
      <w:r w:rsidR="001A49E7">
        <w:t>[</w:t>
      </w:r>
      <w:r w:rsidR="001A49E7" w:rsidRPr="00670F45">
        <w:rPr>
          <w:u w:val="single"/>
        </w:rPr>
        <w:t>See</w:t>
      </w:r>
      <w:r w:rsidR="001A49E7" w:rsidRPr="00670F45">
        <w:t xml:space="preserve"> </w:t>
      </w:r>
      <w:r w:rsidR="001A49E7" w:rsidRPr="00670F45">
        <w:rPr>
          <w:u w:val="single"/>
        </w:rPr>
        <w:t>Standley v. Arnow</w:t>
      </w:r>
      <w:r w:rsidR="001A49E7">
        <w:t xml:space="preserve">, </w:t>
      </w:r>
      <w:r w:rsidR="001A49E7" w:rsidRPr="00670F45">
        <w:t>13 Fla. 361</w:t>
      </w:r>
      <w:r w:rsidR="001A49E7">
        <w:t xml:space="preserve"> (Fla. 1869)]</w:t>
      </w:r>
      <w:r w:rsidR="001A49E7" w:rsidRPr="00670F45">
        <w:t>.</w:t>
      </w:r>
    </w:p>
    <w:p w:rsidR="00D33512" w:rsidRDefault="00D33512" w:rsidP="00D33512">
      <w:pPr>
        <w:ind w:left="720" w:right="720"/>
      </w:pPr>
    </w:p>
    <w:p w:rsidR="00D33512" w:rsidRDefault="001741E8" w:rsidP="00D33512">
      <w:pPr>
        <w:spacing w:line="480" w:lineRule="auto"/>
      </w:pPr>
      <w:r>
        <w:rPr>
          <w:u w:val="single"/>
        </w:rPr>
        <w:t>Id.</w:t>
      </w:r>
      <w:r w:rsidR="00D33512">
        <w:t xml:space="preserve"> at 769.  </w:t>
      </w:r>
    </w:p>
    <w:p w:rsidR="00D33512" w:rsidRDefault="00D33512" w:rsidP="00D33512">
      <w:pPr>
        <w:spacing w:line="480" w:lineRule="auto"/>
        <w:ind w:firstLine="720"/>
      </w:pPr>
      <w:r>
        <w:t xml:space="preserve">The Florida Legislature has identified four </w:t>
      </w:r>
      <w:r w:rsidR="00DD266E">
        <w:t>facts</w:t>
      </w:r>
      <w:r>
        <w:t xml:space="preserve"> that a return of process </w:t>
      </w:r>
      <w:r w:rsidRPr="001F5B85">
        <w:rPr>
          <w:u w:val="single"/>
        </w:rPr>
        <w:t>shall</w:t>
      </w:r>
      <w:r>
        <w:t xml:space="preserve"> note: (1) the date and time that the pleading comes to hand or is received by the process server, (2) the date and time that process is served, (3) the manner of service, and (4) the</w:t>
      </w:r>
      <w:r w:rsidR="00DE6919">
        <w:t xml:space="preserve"> name of the</w:t>
      </w:r>
      <w:r w:rsidR="00DC6EE7">
        <w:t xml:space="preserve"> person served and, if the person is served in a representative capacity, the position occupied by the person.</w:t>
      </w:r>
      <w:r>
        <w:t xml:space="preserve">  </w:t>
      </w:r>
      <w:r w:rsidRPr="0076537A">
        <w:rPr>
          <w:u w:val="single"/>
        </w:rPr>
        <w:t>See</w:t>
      </w:r>
      <w:r w:rsidRPr="0076537A">
        <w:t xml:space="preserve"> § 48.21</w:t>
      </w:r>
      <w:r w:rsidR="00AA46BB">
        <w:t>, Fla. Stat.</w:t>
      </w:r>
    </w:p>
    <w:p w:rsidR="00D33512" w:rsidRDefault="00D33512" w:rsidP="00D33512">
      <w:pPr>
        <w:spacing w:line="480" w:lineRule="auto"/>
        <w:ind w:firstLine="720"/>
      </w:pPr>
      <w:r>
        <w:t>The</w:t>
      </w:r>
      <w:r w:rsidR="005C64A2">
        <w:t xml:space="preserve"> party who seeks to invoke the c</w:t>
      </w:r>
      <w:r>
        <w:t>ourt’s jurisdiction bears the burden of proving proper ser</w:t>
      </w:r>
      <w:r w:rsidR="005C64A2">
        <w:t>vice.  This burden requires the</w:t>
      </w:r>
      <w:r>
        <w:t xml:space="preserve"> party to demonstrate that the return of service is, under section </w:t>
      </w:r>
      <w:r w:rsidRPr="0076537A">
        <w:t>48.21</w:t>
      </w:r>
      <w:r>
        <w:t>, facially valid o</w:t>
      </w:r>
      <w:r w:rsidR="00342AD7">
        <w:t xml:space="preserve">r regular on its face.  </w:t>
      </w:r>
      <w:r>
        <w:t xml:space="preserve">A return of service that is regular on its face must include the statutory factors contained in section 48.21.  </w:t>
      </w:r>
      <w:r w:rsidRPr="0076537A">
        <w:rPr>
          <w:u w:val="single"/>
        </w:rPr>
        <w:t>See</w:t>
      </w:r>
      <w:r w:rsidRPr="0076537A">
        <w:t xml:space="preserve"> </w:t>
      </w:r>
      <w:r w:rsidRPr="0076537A">
        <w:rPr>
          <w:u w:val="single"/>
        </w:rPr>
        <w:t>Re-Emp’t Servs., Ltd. v. Nat’l Loan Acquisitions Co.</w:t>
      </w:r>
      <w:r>
        <w:t>, 969 So. 2d 467, 472 (Fla. 5th DCA 2007) (concluding that a return of service was “defective on its face because it not only failed to accurately note the date and time the process came to hand, but also it actually stated that it came to hand before the summonses were even issued.”).  “</w:t>
      </w:r>
      <w:r w:rsidRPr="00F6136F">
        <w:t>If the return is regular on its face, then the service of process is presumed to be valid and the party challenging service has the burden of overcoming that presumption by clear and convincing evidence.</w:t>
      </w:r>
      <w:r>
        <w:t xml:space="preserve">”  </w:t>
      </w:r>
      <w:r w:rsidRPr="0076537A">
        <w:rPr>
          <w:u w:val="single"/>
        </w:rPr>
        <w:t>Id.</w:t>
      </w:r>
      <w:r w:rsidRPr="00F6136F">
        <w:t xml:space="preserve"> at 471</w:t>
      </w:r>
      <w:r>
        <w:t xml:space="preserve"> (citing </w:t>
      </w:r>
      <w:r w:rsidRPr="0076537A">
        <w:rPr>
          <w:u w:val="single"/>
        </w:rPr>
        <w:t>Klosenski</w:t>
      </w:r>
      <w:r>
        <w:t>, 116 So. 2d at 7</w:t>
      </w:r>
      <w:r w:rsidRPr="00F6136F">
        <w:t>69</w:t>
      </w:r>
      <w:r>
        <w:t>)</w:t>
      </w:r>
      <w:r w:rsidRPr="00F6136F">
        <w:t>.</w:t>
      </w:r>
    </w:p>
    <w:p w:rsidR="00D33512" w:rsidRPr="00F41E25" w:rsidRDefault="00D33512" w:rsidP="00D33512">
      <w:pPr>
        <w:spacing w:line="480" w:lineRule="auto"/>
        <w:jc w:val="center"/>
        <w:rPr>
          <w:b/>
          <w:u w:val="single"/>
        </w:rPr>
      </w:pPr>
      <w:r w:rsidRPr="00F41E25">
        <w:rPr>
          <w:b/>
          <w:u w:val="single"/>
        </w:rPr>
        <w:t>Koster</w:t>
      </w:r>
    </w:p>
    <w:p w:rsidR="00D33512" w:rsidRDefault="00D33512" w:rsidP="00D33512">
      <w:pPr>
        <w:spacing w:line="480" w:lineRule="auto"/>
        <w:ind w:firstLine="720"/>
      </w:pPr>
      <w:r>
        <w:t xml:space="preserve">There is no question that the return of service in </w:t>
      </w:r>
      <w:r w:rsidRPr="0076537A">
        <w:rPr>
          <w:u w:val="single"/>
        </w:rPr>
        <w:t>Koster</w:t>
      </w:r>
      <w:r>
        <w:t xml:space="preserve"> satisfies the express statutory requirements of section </w:t>
      </w:r>
      <w:r w:rsidRPr="0076537A">
        <w:t>48.21</w:t>
      </w:r>
      <w:r>
        <w:t xml:space="preserve">.  The return of service specifies the date and time that the process server received the summons and complaint, the date and time of service, that the manner of </w:t>
      </w:r>
      <w:r w:rsidR="00ED6A75">
        <w:t>service</w:t>
      </w:r>
      <w:r>
        <w:t xml:space="preserve"> was substitute service, and that the person served was Pat Hassett, Koster’s sister-in-law and co-resident.  But, the issue in this case boils down to how specific, under section </w:t>
      </w:r>
      <w:r w:rsidRPr="00245902">
        <w:t>48.21</w:t>
      </w:r>
      <w:r>
        <w:t>, a return of service must be to be deemed valid</w:t>
      </w:r>
      <w:r w:rsidR="005202D6">
        <w:t xml:space="preserve"> on its face</w:t>
      </w:r>
      <w:r>
        <w:t>.  Koster maintains that in light of</w:t>
      </w:r>
      <w:r w:rsidR="007D47CF">
        <w:t xml:space="preserve"> the substitute service effec</w:t>
      </w:r>
      <w:r>
        <w:t xml:space="preserve">ted in his case, the </w:t>
      </w:r>
      <w:r w:rsidR="00B80EAA">
        <w:t>factors</w:t>
      </w:r>
      <w:r>
        <w:t xml:space="preserve"> of substitute service under section </w:t>
      </w:r>
      <w:r w:rsidRPr="00245902">
        <w:t>48.031</w:t>
      </w:r>
      <w:r w:rsidR="003B2808">
        <w:t>(1)(a)</w:t>
      </w:r>
      <w:r>
        <w:t xml:space="preserve"> must also be indicated in the return of service.  Thus, he argues that the return was deficient because it did not state</w:t>
      </w:r>
      <w:r w:rsidR="00EF5673">
        <w:t>,</w:t>
      </w:r>
      <w:r>
        <w:t xml:space="preserve"> in accordance with section </w:t>
      </w:r>
      <w:r w:rsidRPr="00245902">
        <w:t>48.031</w:t>
      </w:r>
      <w:r w:rsidR="003B2808">
        <w:t>(1)(a)</w:t>
      </w:r>
      <w:r w:rsidR="00EF5673">
        <w:t>,</w:t>
      </w:r>
      <w:r>
        <w:t xml:space="preserve"> that the service address was Koster’s normal place of abode, that his sister-in-law, Pat Hassett</w:t>
      </w:r>
      <w:r w:rsidR="00E921D5">
        <w:t>,</w:t>
      </w:r>
      <w:r>
        <w:t xml:space="preserve"> was a person f</w:t>
      </w:r>
      <w:r w:rsidR="00907D85">
        <w:t>ifteen years of age or older, and</w:t>
      </w:r>
      <w:r w:rsidR="006A6632">
        <w:t xml:space="preserve"> that</w:t>
      </w:r>
      <w:r>
        <w:t xml:space="preserve"> Hassett was informed of the contents </w:t>
      </w:r>
      <w:r w:rsidR="00CF4A5F">
        <w:t xml:space="preserve">of the document </w:t>
      </w:r>
      <w:r>
        <w:t>w</w:t>
      </w:r>
      <w:r w:rsidR="00AA46BB">
        <w:t>ith which she was being served.</w:t>
      </w:r>
    </w:p>
    <w:p w:rsidR="00D33512" w:rsidRDefault="00D33512" w:rsidP="00D33512">
      <w:pPr>
        <w:spacing w:line="480" w:lineRule="auto"/>
        <w:ind w:firstLine="720"/>
      </w:pPr>
      <w:r>
        <w:t xml:space="preserve">However, the language in section </w:t>
      </w:r>
      <w:r w:rsidRPr="00245902">
        <w:t>48.21</w:t>
      </w:r>
      <w:r>
        <w:t xml:space="preserve"> does not expressly </w:t>
      </w:r>
      <w:r w:rsidR="00E544CD">
        <w:t>incorporate</w:t>
      </w:r>
      <w:r>
        <w:t xml:space="preserve"> section 48.031, nor does it refer to the factors contained within section </w:t>
      </w:r>
      <w:r w:rsidRPr="00245902">
        <w:t>48.031</w:t>
      </w:r>
      <w:r w:rsidR="00053003">
        <w:t>(1)(a)</w:t>
      </w:r>
      <w:r>
        <w:t xml:space="preserve">.  Section </w:t>
      </w:r>
      <w:r w:rsidRPr="00245902">
        <w:t>48.21</w:t>
      </w:r>
      <w:r>
        <w:t xml:space="preserve"> clearly states the information that </w:t>
      </w:r>
      <w:r w:rsidRPr="00882993">
        <w:rPr>
          <w:u w:val="single"/>
        </w:rPr>
        <w:t>shall</w:t>
      </w:r>
      <w:r>
        <w:t xml:space="preserve"> be included in a return of service.  </w:t>
      </w:r>
      <w:r w:rsidR="009236D6">
        <w:t>Thus</w:t>
      </w:r>
      <w:r>
        <w:t xml:space="preserve">, </w:t>
      </w:r>
      <w:r w:rsidR="00FE7560">
        <w:t xml:space="preserve">section </w:t>
      </w:r>
      <w:r w:rsidRPr="00245902">
        <w:t>48.21</w:t>
      </w:r>
      <w:r>
        <w:t xml:space="preserve"> can</w:t>
      </w:r>
      <w:r w:rsidR="007847A0">
        <w:t>not</w:t>
      </w:r>
      <w:r>
        <w:t xml:space="preserve"> be strictly read to require that the factors in section </w:t>
      </w:r>
      <w:r w:rsidRPr="00245902">
        <w:t>48.031</w:t>
      </w:r>
      <w:r w:rsidR="00AD0AF2">
        <w:t>(1)(a)</w:t>
      </w:r>
      <w:r>
        <w:t xml:space="preserve"> be specified.</w:t>
      </w:r>
      <w:r w:rsidR="00614CB3">
        <w:t xml:space="preserve">  </w:t>
      </w:r>
      <w:r w:rsidR="00614CB3" w:rsidRPr="00292C1E">
        <w:t>I</w:t>
      </w:r>
      <w:r w:rsidR="006F3A40" w:rsidRPr="00292C1E">
        <w:t xml:space="preserve">t is </w:t>
      </w:r>
      <w:r w:rsidR="006D506A" w:rsidRPr="00292C1E">
        <w:t xml:space="preserve">still </w:t>
      </w:r>
      <w:r w:rsidR="006F3A40" w:rsidRPr="00292C1E">
        <w:t>important</w:t>
      </w:r>
      <w:r w:rsidR="007E3B2D">
        <w:t>, though,</w:t>
      </w:r>
      <w:r w:rsidR="006F3A40" w:rsidRPr="00292C1E">
        <w:t xml:space="preserve"> to state</w:t>
      </w:r>
      <w:r w:rsidR="00614CB3" w:rsidRPr="00292C1E">
        <w:t xml:space="preserve"> more than j</w:t>
      </w:r>
      <w:r w:rsidR="00E30110" w:rsidRPr="00292C1E">
        <w:t>ust</w:t>
      </w:r>
      <w:r w:rsidR="009B5273" w:rsidRPr="00292C1E">
        <w:t xml:space="preserve"> the fact</w:t>
      </w:r>
      <w:r w:rsidR="00E30110" w:rsidRPr="00292C1E">
        <w:t xml:space="preserve"> that the manner of service</w:t>
      </w:r>
      <w:r w:rsidR="00614CB3" w:rsidRPr="00292C1E">
        <w:t xml:space="preserve"> was </w:t>
      </w:r>
      <w:r w:rsidR="00E30110" w:rsidRPr="00292C1E">
        <w:t>“</w:t>
      </w:r>
      <w:r w:rsidR="00614CB3" w:rsidRPr="00292C1E">
        <w:t>substitute.</w:t>
      </w:r>
      <w:r w:rsidR="00E30110" w:rsidRPr="00292C1E">
        <w:t>”</w:t>
      </w:r>
      <w:r w:rsidR="00614CB3" w:rsidRPr="00292C1E">
        <w:t xml:space="preserve">  For instance, the name of the person who accepted substitute service </w:t>
      </w:r>
      <w:r w:rsidR="00292C1E">
        <w:t>must</w:t>
      </w:r>
      <w:r w:rsidR="00614CB3" w:rsidRPr="00292C1E">
        <w:t xml:space="preserve"> be listed</w:t>
      </w:r>
      <w:r w:rsidR="006D506A" w:rsidRPr="00292C1E">
        <w:t>, as provided in section 48.21</w:t>
      </w:r>
      <w:r w:rsidR="00614CB3" w:rsidRPr="00292C1E">
        <w:t xml:space="preserve">.  In this case, the return of service listed </w:t>
      </w:r>
      <w:r w:rsidR="00A75632" w:rsidRPr="00292C1E">
        <w:t>“</w:t>
      </w:r>
      <w:r w:rsidR="00614CB3" w:rsidRPr="00292C1E">
        <w:t>Pat Hassett</w:t>
      </w:r>
      <w:r w:rsidR="00A75632" w:rsidRPr="00292C1E">
        <w:t>”</w:t>
      </w:r>
      <w:r w:rsidR="00614CB3" w:rsidRPr="00292C1E">
        <w:t xml:space="preserve"> as “sister-in-law/co-resident” of Koster.  Th</w:t>
      </w:r>
      <w:r w:rsidR="00F652ED">
        <w:t>erefore</w:t>
      </w:r>
      <w:r w:rsidR="00614CB3" w:rsidRPr="00292C1E">
        <w:t>, the return of service here was sufficient.</w:t>
      </w:r>
    </w:p>
    <w:p w:rsidR="00D33512" w:rsidRPr="00F33C86" w:rsidRDefault="00D33512" w:rsidP="00D33512">
      <w:pPr>
        <w:spacing w:line="480" w:lineRule="auto"/>
        <w:ind w:firstLine="720"/>
      </w:pPr>
      <w:r>
        <w:t xml:space="preserve">Koster points to this Court’s decision in </w:t>
      </w:r>
      <w:r w:rsidRPr="00245902">
        <w:rPr>
          <w:u w:val="single"/>
        </w:rPr>
        <w:t>Standley</w:t>
      </w:r>
      <w:r>
        <w:t xml:space="preserve"> in support of his argument that the specifics regarding manner of service</w:t>
      </w:r>
      <w:r w:rsidR="003F1C74">
        <w:t xml:space="preserve"> set forth in section 48.031</w:t>
      </w:r>
      <w:r>
        <w:t xml:space="preserve"> must be indicated in a valid return of service.  In </w:t>
      </w:r>
      <w:r w:rsidRPr="002976A3">
        <w:rPr>
          <w:u w:val="single"/>
        </w:rPr>
        <w:t>Standley</w:t>
      </w:r>
      <w:r>
        <w:t xml:space="preserve">, </w:t>
      </w:r>
      <w:r w:rsidR="00627E06">
        <w:t>the defendant</w:t>
      </w:r>
      <w:r>
        <w:t xml:space="preserve"> appealed a final decre</w:t>
      </w:r>
      <w:r w:rsidR="00192A10">
        <w:t xml:space="preserve">e that was entered against her </w:t>
      </w:r>
      <w:r>
        <w:t xml:space="preserve">on the grounds that she was not served with a subpoena in chancery as prescribed by law.  </w:t>
      </w:r>
      <w:r w:rsidR="00192A10">
        <w:rPr>
          <w:u w:val="single"/>
        </w:rPr>
        <w:t>Standley</w:t>
      </w:r>
      <w:r w:rsidR="00192A10">
        <w:t xml:space="preserve">, 13 Fla. at 364-65.  </w:t>
      </w:r>
      <w:r>
        <w:t>This Court considered the validity of the return of service, which stated that service was “</w:t>
      </w:r>
      <w:r w:rsidRPr="00DD128A">
        <w:t>executed by serving a true</w:t>
      </w:r>
      <w:r>
        <w:t xml:space="preserve"> copy on the within named party . . .</w:t>
      </w:r>
      <w:r w:rsidRPr="00DD128A">
        <w:t>”</w:t>
      </w:r>
      <w:r>
        <w:t xml:space="preserve">  </w:t>
      </w:r>
      <w:r w:rsidRPr="00245902">
        <w:rPr>
          <w:u w:val="single"/>
        </w:rPr>
        <w:t>Id.</w:t>
      </w:r>
      <w:r>
        <w:t xml:space="preserve">  </w:t>
      </w:r>
      <w:r w:rsidR="002E0773">
        <w:t>“Where the statutes poi</w:t>
      </w:r>
      <w:r w:rsidR="00780E95">
        <w:t>nt out the mode of acquiring jur</w:t>
      </w:r>
      <w:r w:rsidR="002E0773">
        <w:t>isdiction over the person,</w:t>
      </w:r>
      <w:r w:rsidR="00780E95">
        <w:t>” this Court said,</w:t>
      </w:r>
      <w:r w:rsidR="002E0773">
        <w:t xml:space="preserve"> </w:t>
      </w:r>
      <w:r w:rsidR="00780E95">
        <w:t>“</w:t>
      </w:r>
      <w:r w:rsidR="002E0773">
        <w:t>it must be strictly pursued.”</w:t>
      </w:r>
      <w:r w:rsidR="001A7B4A">
        <w:t xml:space="preserve">  </w:t>
      </w:r>
      <w:r w:rsidR="001A7B4A">
        <w:rPr>
          <w:u w:val="single"/>
        </w:rPr>
        <w:t>Id.</w:t>
      </w:r>
      <w:r w:rsidR="001A7B4A">
        <w:t xml:space="preserve"> at 366.</w:t>
      </w:r>
      <w:r w:rsidR="002E0773">
        <w:t xml:space="preserve">  </w:t>
      </w:r>
      <w:r>
        <w:t>Without fully expanding on the deficiencies of the return of service</w:t>
      </w:r>
      <w:r w:rsidR="002C7D1A">
        <w:t xml:space="preserve"> in </w:t>
      </w:r>
      <w:r w:rsidR="002C7D1A" w:rsidRPr="002C7D1A">
        <w:rPr>
          <w:u w:val="single"/>
        </w:rPr>
        <w:t>Standley</w:t>
      </w:r>
      <w:r>
        <w:t xml:space="preserve">, </w:t>
      </w:r>
      <w:r w:rsidR="007B3B69">
        <w:t>we</w:t>
      </w:r>
      <w:r>
        <w:t xml:space="preserve"> concluded that “[n]</w:t>
      </w:r>
      <w:r w:rsidRPr="00DD128A">
        <w:t>ot only is the return of the sheriff deficient in reference to the manner of service, but it may be conside</w:t>
      </w:r>
      <w:r>
        <w:t>red uncertain whether the word ‘party’</w:t>
      </w:r>
      <w:r w:rsidRPr="00DD128A">
        <w:t xml:space="preserve"> refers to the defendant.</w:t>
      </w:r>
      <w:r>
        <w:t xml:space="preserve">”  </w:t>
      </w:r>
      <w:r w:rsidRPr="002976A3">
        <w:rPr>
          <w:u w:val="single"/>
        </w:rPr>
        <w:t>Id.</w:t>
      </w:r>
    </w:p>
    <w:p w:rsidR="00A60B9D" w:rsidRPr="009D4542" w:rsidRDefault="00D33512" w:rsidP="00AA46BB">
      <w:pPr>
        <w:spacing w:line="480" w:lineRule="auto"/>
        <w:ind w:firstLine="720"/>
      </w:pPr>
      <w:r>
        <w:t xml:space="preserve">Although Koster relies on </w:t>
      </w:r>
      <w:r w:rsidRPr="002976A3">
        <w:rPr>
          <w:u w:val="single"/>
        </w:rPr>
        <w:t>Standley</w:t>
      </w:r>
      <w:r>
        <w:t xml:space="preserve"> as support for his argument that a facially valid return of service must specify the factors relating to the manner of service, the language above does not </w:t>
      </w:r>
      <w:r w:rsidR="00202F56">
        <w:t>mandate</w:t>
      </w:r>
      <w:r w:rsidR="00E17C10">
        <w:t xml:space="preserve"> that requirement</w:t>
      </w:r>
      <w:r>
        <w:t>.  In fact, given the very broad language in the return of service</w:t>
      </w:r>
      <w:r w:rsidR="00AC2CB6">
        <w:t xml:space="preserve"> at issue in </w:t>
      </w:r>
      <w:r w:rsidR="00E935F5" w:rsidRPr="00E935F5">
        <w:rPr>
          <w:u w:val="single"/>
        </w:rPr>
        <w:t>Standley</w:t>
      </w:r>
      <w:r>
        <w:t xml:space="preserve">, it is just as likely that the deficiency was the failure to point out </w:t>
      </w:r>
      <w:r w:rsidRPr="0088345E">
        <w:rPr>
          <w:u w:val="single"/>
        </w:rPr>
        <w:t>any</w:t>
      </w:r>
      <w:r>
        <w:t xml:space="preserve"> manner of service, not the underlying factors establishing a particular manner of service.</w:t>
      </w:r>
      <w:r w:rsidR="003E5E54">
        <w:t xml:space="preserve">  This Court</w:t>
      </w:r>
      <w:r w:rsidR="00F02193">
        <w:t xml:space="preserve"> in </w:t>
      </w:r>
      <w:r w:rsidR="00F02193" w:rsidRPr="00F02193">
        <w:rPr>
          <w:u w:val="single"/>
        </w:rPr>
        <w:t>Standley</w:t>
      </w:r>
      <w:r w:rsidR="001A7374">
        <w:t xml:space="preserve"> </w:t>
      </w:r>
      <w:r w:rsidR="00EB124B">
        <w:t xml:space="preserve">stressed strict compliance with the </w:t>
      </w:r>
      <w:r w:rsidR="00F02193">
        <w:t>manner</w:t>
      </w:r>
      <w:r w:rsidR="00EB124B">
        <w:t xml:space="preserve"> of acquiring jurisdicti</w:t>
      </w:r>
      <w:r w:rsidR="00F02193">
        <w:t xml:space="preserve">on but did not </w:t>
      </w:r>
      <w:r w:rsidR="00017942">
        <w:t>require returns of service to list</w:t>
      </w:r>
      <w:r w:rsidR="00F02193">
        <w:t xml:space="preserve"> the requirements of the manner of service</w:t>
      </w:r>
      <w:r w:rsidR="00EB124B">
        <w:t>.</w:t>
      </w:r>
      <w:r>
        <w:t xml:space="preserve">  Thus, </w:t>
      </w:r>
      <w:r w:rsidRPr="002976A3">
        <w:rPr>
          <w:u w:val="single"/>
        </w:rPr>
        <w:t>Standley</w:t>
      </w:r>
      <w:r>
        <w:t xml:space="preserve"> does not support Koster’s argument that a facially valid return of service requires the inclusion of the factors outlined in section </w:t>
      </w:r>
      <w:r w:rsidRPr="004B0D96">
        <w:t>48.031</w:t>
      </w:r>
      <w:r w:rsidR="000E7851">
        <w:t>(1)(a)</w:t>
      </w:r>
      <w:r>
        <w:t>.</w:t>
      </w:r>
    </w:p>
    <w:p w:rsidR="00D33512" w:rsidRPr="00BF29CD" w:rsidRDefault="00D33512" w:rsidP="00D33512">
      <w:pPr>
        <w:spacing w:line="480" w:lineRule="auto"/>
        <w:jc w:val="center"/>
        <w:rPr>
          <w:b/>
        </w:rPr>
      </w:pPr>
      <w:r w:rsidRPr="00BF29CD">
        <w:rPr>
          <w:b/>
        </w:rPr>
        <w:t>Interpreting Section 48.21</w:t>
      </w:r>
    </w:p>
    <w:p w:rsidR="00D33512" w:rsidRDefault="00853EA7" w:rsidP="002B6D82">
      <w:pPr>
        <w:spacing w:line="480" w:lineRule="auto"/>
        <w:ind w:firstLine="720"/>
      </w:pPr>
      <w:r>
        <w:t xml:space="preserve">“In construing a statute we are to give effect to the Legislature’s intent.  </w:t>
      </w:r>
      <w:r w:rsidRPr="00853EA7">
        <w:rPr>
          <w:u w:val="single"/>
        </w:rPr>
        <w:t>See</w:t>
      </w:r>
      <w:r>
        <w:t xml:space="preserve"> </w:t>
      </w:r>
      <w:r w:rsidRPr="00853EA7">
        <w:rPr>
          <w:u w:val="single"/>
        </w:rPr>
        <w:t>State v. J.</w:t>
      </w:r>
      <w:r>
        <w:rPr>
          <w:u w:val="single"/>
        </w:rPr>
        <w:t>M</w:t>
      </w:r>
      <w:r w:rsidRPr="00853EA7">
        <w:rPr>
          <w:u w:val="single"/>
        </w:rPr>
        <w:t>.</w:t>
      </w:r>
      <w:r>
        <w:t xml:space="preserve">, 824 So. 2d 105, 109 (Fla. 2002).  In attempting to discern legislative intent, we first look to the actual language used in the statute.  </w:t>
      </w:r>
      <w:r w:rsidRPr="00853EA7">
        <w:rPr>
          <w:u w:val="single"/>
        </w:rPr>
        <w:t>Joshua v. City of Gainesville</w:t>
      </w:r>
      <w:r>
        <w:t xml:space="preserve">, 768 So. 2d 432, 435 (Fla. 2000); </w:t>
      </w:r>
      <w:r w:rsidRPr="00853EA7">
        <w:rPr>
          <w:u w:val="single"/>
        </w:rPr>
        <w:t>accord</w:t>
      </w:r>
      <w:r>
        <w:t xml:space="preserve"> </w:t>
      </w:r>
      <w:r w:rsidRPr="00853EA7">
        <w:rPr>
          <w:u w:val="single"/>
        </w:rPr>
        <w:t>BellSouth Telecomms.</w:t>
      </w:r>
      <w:r w:rsidR="00AE45F1">
        <w:rPr>
          <w:u w:val="single"/>
        </w:rPr>
        <w:t>,</w:t>
      </w:r>
      <w:r w:rsidRPr="00853EA7">
        <w:rPr>
          <w:u w:val="single"/>
        </w:rPr>
        <w:t xml:space="preserve"> Inc. v. Meeks</w:t>
      </w:r>
      <w:r>
        <w:t xml:space="preserve">, 863 So. 2d 287, 289 (Fla. 2003).”  </w:t>
      </w:r>
      <w:r w:rsidR="001A49E7">
        <w:rPr>
          <w:u w:val="single"/>
        </w:rPr>
        <w:t>Daniels v. Fl</w:t>
      </w:r>
      <w:r w:rsidRPr="009953FC">
        <w:rPr>
          <w:u w:val="single"/>
        </w:rPr>
        <w:t>a</w:t>
      </w:r>
      <w:r w:rsidR="001A49E7">
        <w:rPr>
          <w:u w:val="single"/>
        </w:rPr>
        <w:t>.</w:t>
      </w:r>
      <w:r w:rsidRPr="009953FC">
        <w:rPr>
          <w:u w:val="single"/>
        </w:rPr>
        <w:t xml:space="preserve"> Dept. of Health</w:t>
      </w:r>
      <w:r>
        <w:t xml:space="preserve">, </w:t>
      </w:r>
      <w:r w:rsidR="00AE45F1">
        <w:t>898 So. 2d 61, 64 (Fla.</w:t>
      </w:r>
      <w:r w:rsidR="009953FC">
        <w:t xml:space="preserve"> 2005).</w:t>
      </w:r>
      <w:r w:rsidR="00D33512" w:rsidRPr="007F26C3">
        <w:t xml:space="preserve"> </w:t>
      </w:r>
      <w:r w:rsidR="00D33512">
        <w:t xml:space="preserve"> </w:t>
      </w:r>
      <w:r w:rsidR="00D33512" w:rsidRPr="007F26C3">
        <w:t xml:space="preserve">If the statute is clear and unambiguous, it is given its plain and obvious meaning without resorting to the rules of statutory construction and interpretation, unless this would lead to an unreasonable result or a result clearly contrary to legislative intent. </w:t>
      </w:r>
      <w:r w:rsidR="00D33512">
        <w:t xml:space="preserve"> </w:t>
      </w:r>
      <w:r w:rsidR="001A49E7">
        <w:rPr>
          <w:u w:val="single"/>
        </w:rPr>
        <w:t>Id.</w:t>
      </w:r>
      <w:r w:rsidR="00D33512" w:rsidRPr="007F26C3">
        <w:t xml:space="preserve"> </w:t>
      </w:r>
      <w:r w:rsidR="00D33512">
        <w:t xml:space="preserve"> </w:t>
      </w:r>
      <w:r w:rsidR="00D33512" w:rsidRPr="007F26C3">
        <w:t xml:space="preserve">Florida courts are “ ‘without power to construe an unambiguous statute in a way which would extend, modify, or </w:t>
      </w:r>
      <w:r w:rsidR="00D33512" w:rsidRPr="00180125">
        <w:rPr>
          <w:u w:val="single"/>
        </w:rPr>
        <w:t>limit</w:t>
      </w:r>
      <w:r w:rsidR="00D33512" w:rsidRPr="007F26C3">
        <w:t xml:space="preserve">, its express terms or its </w:t>
      </w:r>
      <w:r w:rsidR="00D33512" w:rsidRPr="00180125">
        <w:rPr>
          <w:u w:val="single"/>
        </w:rPr>
        <w:t>reasonable and obvious implications</w:t>
      </w:r>
      <w:r w:rsidR="00D33512" w:rsidRPr="007F26C3">
        <w:t xml:space="preserve">. </w:t>
      </w:r>
      <w:r w:rsidR="00D33512">
        <w:t xml:space="preserve"> </w:t>
      </w:r>
      <w:r w:rsidR="00D33512" w:rsidRPr="007F26C3">
        <w:t xml:space="preserve">To do so would be an abrogation of legislative power.’ ” </w:t>
      </w:r>
      <w:r w:rsidR="00C25686">
        <w:t xml:space="preserve"> </w:t>
      </w:r>
      <w:r w:rsidR="00D33512" w:rsidRPr="00C25686">
        <w:rPr>
          <w:u w:val="single"/>
        </w:rPr>
        <w:t>Holly v. Auld</w:t>
      </w:r>
      <w:r w:rsidR="00D33512" w:rsidRPr="007F26C3">
        <w:t>, 450 So.</w:t>
      </w:r>
      <w:r w:rsidR="00D33512">
        <w:t xml:space="preserve"> </w:t>
      </w:r>
      <w:r w:rsidR="00D33512" w:rsidRPr="007F26C3">
        <w:t>2d 217, 219 (Fla.</w:t>
      </w:r>
      <w:r w:rsidR="00D33512">
        <w:t xml:space="preserve"> </w:t>
      </w:r>
      <w:r w:rsidR="00D33512" w:rsidRPr="007F26C3">
        <w:t xml:space="preserve">1984) (quoting </w:t>
      </w:r>
      <w:r w:rsidR="00D33512" w:rsidRPr="00C25686">
        <w:rPr>
          <w:u w:val="single"/>
        </w:rPr>
        <w:t>Am. Bankers Life Assur. Co. of Fla. v. Williams</w:t>
      </w:r>
      <w:r w:rsidR="00D33512" w:rsidRPr="007F26C3">
        <w:t>, 212 So.</w:t>
      </w:r>
      <w:r w:rsidR="00D33512">
        <w:t xml:space="preserve"> </w:t>
      </w:r>
      <w:r w:rsidR="00D33512" w:rsidRPr="007F26C3">
        <w:t>2d 777, 778 (Fla. 1st D</w:t>
      </w:r>
      <w:r w:rsidR="000A0A9E">
        <w:t>CA 1968))</w:t>
      </w:r>
      <w:r w:rsidR="00D33512" w:rsidRPr="007F26C3">
        <w:t>.</w:t>
      </w:r>
    </w:p>
    <w:p w:rsidR="00D33512" w:rsidRPr="00987291" w:rsidRDefault="00D33512" w:rsidP="00D33512">
      <w:pPr>
        <w:spacing w:line="480" w:lineRule="auto"/>
        <w:ind w:firstLine="720"/>
      </w:pPr>
      <w:r>
        <w:t xml:space="preserve">Section </w:t>
      </w:r>
      <w:r w:rsidRPr="00C25686">
        <w:t>48.21</w:t>
      </w:r>
      <w:r>
        <w:t xml:space="preserve"> clearly and unambiguously requires that a return of service include certain information.  In fact, the Legislature left no discretion in this regard.  In addition to the use of the word “shall,” the Legislature also</w:t>
      </w:r>
      <w:r w:rsidR="00E84996">
        <w:t xml:space="preserve"> provided a consequence for </w:t>
      </w:r>
      <w:r>
        <w:t xml:space="preserve">failure to comply with the statute’s requirements.  Section </w:t>
      </w:r>
      <w:r w:rsidRPr="00C25686">
        <w:t>48.21</w:t>
      </w:r>
      <w:r>
        <w:t xml:space="preserve"> provides that although a failure to state the required facts is not fatal to the cause of action, it does invalidate the service itself.</w:t>
      </w:r>
      <w:r w:rsidR="00611AC7">
        <w:rPr>
          <w:rStyle w:val="FootnoteReference"/>
        </w:rPr>
        <w:footnoteReference w:id="3"/>
      </w:r>
      <w:r>
        <w:t xml:space="preserve">  The Legislature’s specific provisions in this regard provide further reason not to read additional r</w:t>
      </w:r>
      <w:r w:rsidR="00B47684">
        <w:t xml:space="preserve">equirements into the statute.  </w:t>
      </w:r>
      <w:r w:rsidR="005E2390">
        <w:t>Moreover</w:t>
      </w:r>
      <w:r w:rsidR="002D5D28">
        <w:t xml:space="preserve">, this Court has no power </w:t>
      </w:r>
      <w:r w:rsidR="00066AC1">
        <w:t>to “extend, modify, or limit, [the section’s]</w:t>
      </w:r>
      <w:r w:rsidR="00066AC1" w:rsidRPr="007F26C3">
        <w:t xml:space="preserve"> express terms or its reasonable and obvious implications</w:t>
      </w:r>
      <w:r w:rsidR="00066AC1">
        <w:t>”</w:t>
      </w:r>
      <w:r w:rsidR="006D5E13">
        <w:t xml:space="preserve"> by adding requirements not present in the statute.</w:t>
      </w:r>
      <w:r w:rsidR="002D5D28">
        <w:t xml:space="preserve">  </w:t>
      </w:r>
      <w:r w:rsidR="003F0904">
        <w:rPr>
          <w:u w:val="single"/>
        </w:rPr>
        <w:t>Id.</w:t>
      </w:r>
      <w:r w:rsidR="003F0904">
        <w:t xml:space="preserve"> (emphasis omitted).</w:t>
      </w:r>
    </w:p>
    <w:p w:rsidR="00D33512" w:rsidRDefault="00FC0C62" w:rsidP="00536CFE">
      <w:pPr>
        <w:spacing w:line="480" w:lineRule="auto"/>
        <w:ind w:firstLine="720"/>
      </w:pPr>
      <w:r>
        <w:t>Although</w:t>
      </w:r>
      <w:r w:rsidR="00D33512">
        <w:t xml:space="preserve"> the factors in section </w:t>
      </w:r>
      <w:r w:rsidR="00D33512" w:rsidRPr="00C25686">
        <w:t>48.031</w:t>
      </w:r>
      <w:r w:rsidR="00012225">
        <w:t>(1)(a)</w:t>
      </w:r>
      <w:r w:rsidR="00D33512">
        <w:t xml:space="preserve"> could easily be addressed in a return of service, </w:t>
      </w:r>
      <w:r w:rsidR="004E0E9B">
        <w:t>the Legislature has not so mandated.  T</w:t>
      </w:r>
      <w:r w:rsidR="00D33512">
        <w:t>he statute as written does not require the express inclusion of the</w:t>
      </w:r>
      <w:r w:rsidR="0055403A">
        <w:t xml:space="preserve"> factors in</w:t>
      </w:r>
      <w:r w:rsidR="00D33512">
        <w:t xml:space="preserve"> section </w:t>
      </w:r>
      <w:r w:rsidR="00D33512" w:rsidRPr="00C25686">
        <w:t>48.031</w:t>
      </w:r>
      <w:r w:rsidR="003739EE">
        <w:t>(1)(a)</w:t>
      </w:r>
      <w:r w:rsidR="00D33512">
        <w:t xml:space="preserve">.  </w:t>
      </w:r>
      <w:r w:rsidR="00712316">
        <w:t>Because</w:t>
      </w:r>
      <w:r w:rsidR="00D33512">
        <w:t xml:space="preserve"> the Legislature is best positioned </w:t>
      </w:r>
      <w:r w:rsidR="00712316">
        <w:t xml:space="preserve">to make a policy determination as to </w:t>
      </w:r>
      <w:r w:rsidR="00B17621">
        <w:t>what should or must be included in a return of service under</w:t>
      </w:r>
      <w:r w:rsidR="00D33512">
        <w:t xml:space="preserve"> section </w:t>
      </w:r>
      <w:r w:rsidR="00D33512" w:rsidRPr="00C25686">
        <w:t>48.21</w:t>
      </w:r>
      <w:r w:rsidR="00712316">
        <w:t xml:space="preserve">, we </w:t>
      </w:r>
      <w:r w:rsidR="003A6705">
        <w:t>decline to</w:t>
      </w:r>
      <w:r w:rsidR="00712316">
        <w:t xml:space="preserve"> expand the requirements as Koster requests.</w:t>
      </w:r>
    </w:p>
    <w:p w:rsidR="007866F9" w:rsidRDefault="005A074C" w:rsidP="00D33512">
      <w:pPr>
        <w:spacing w:line="480" w:lineRule="auto"/>
        <w:ind w:firstLine="720"/>
      </w:pPr>
      <w:r w:rsidRPr="00F61ACB">
        <w:t>Although</w:t>
      </w:r>
      <w:r w:rsidR="00614CB3" w:rsidRPr="00F61ACB">
        <w:t xml:space="preserve"> we conclude that</w:t>
      </w:r>
      <w:r w:rsidRPr="00F61ACB">
        <w:t xml:space="preserve"> the</w:t>
      </w:r>
      <w:r w:rsidR="000A28E2">
        <w:t xml:space="preserve"> factors in</w:t>
      </w:r>
      <w:r w:rsidRPr="00F61ACB">
        <w:t xml:space="preserve"> section 48.031</w:t>
      </w:r>
      <w:r w:rsidR="00012225">
        <w:t>(1)(a)</w:t>
      </w:r>
      <w:r w:rsidR="000971A3" w:rsidRPr="00F61ACB">
        <w:t xml:space="preserve"> ar</w:t>
      </w:r>
      <w:r w:rsidR="00F6627D" w:rsidRPr="00F61ACB">
        <w:t>e</w:t>
      </w:r>
      <w:r w:rsidR="000971A3" w:rsidRPr="00F61ACB">
        <w:t xml:space="preserve"> not required to be expressly set forth</w:t>
      </w:r>
      <w:r w:rsidRPr="00F61ACB">
        <w:t xml:space="preserve"> in the return of service</w:t>
      </w:r>
      <w:r w:rsidR="000971A3" w:rsidRPr="00F61ACB">
        <w:t>, we emphasize the importance that</w:t>
      </w:r>
      <w:r w:rsidR="00DF14DA" w:rsidRPr="00F61ACB">
        <w:t xml:space="preserve"> all process servers</w:t>
      </w:r>
      <w:r w:rsidRPr="00F61ACB">
        <w:t xml:space="preserve"> strictly </w:t>
      </w:r>
      <w:r w:rsidR="00CA2139">
        <w:t>ascertain and comply with</w:t>
      </w:r>
      <w:r w:rsidRPr="00F61ACB">
        <w:t xml:space="preserve"> the general requirements of the service of process statutes.</w:t>
      </w:r>
    </w:p>
    <w:p w:rsidR="00D33512" w:rsidRPr="00AF2B5F" w:rsidRDefault="00D33512" w:rsidP="00D33512">
      <w:pPr>
        <w:spacing w:line="480" w:lineRule="auto"/>
        <w:jc w:val="center"/>
        <w:rPr>
          <w:b/>
        </w:rPr>
      </w:pPr>
      <w:r w:rsidRPr="00AF2B5F">
        <w:rPr>
          <w:b/>
        </w:rPr>
        <w:t>CONCLUSION</w:t>
      </w:r>
    </w:p>
    <w:p w:rsidR="00691A0C" w:rsidRDefault="00D33512" w:rsidP="00D33512">
      <w:pPr>
        <w:spacing w:line="480" w:lineRule="auto"/>
      </w:pPr>
      <w:r>
        <w:tab/>
      </w:r>
      <w:r w:rsidR="00132C31">
        <w:rPr>
          <w:color w:val="000000"/>
        </w:rPr>
        <w:t xml:space="preserve">Based on the foregoing, we answer the certified question in the negative </w:t>
      </w:r>
      <w:r w:rsidR="00D07D6C">
        <w:rPr>
          <w:color w:val="000000"/>
        </w:rPr>
        <w:t>and hold that section 48.21 does not</w:t>
      </w:r>
      <w:r w:rsidR="00F9345E">
        <w:rPr>
          <w:color w:val="000000"/>
        </w:rPr>
        <w:t xml:space="preserve"> require the</w:t>
      </w:r>
      <w:r w:rsidR="00097B56">
        <w:rPr>
          <w:color w:val="000000"/>
        </w:rPr>
        <w:t xml:space="preserve"> express</w:t>
      </w:r>
      <w:r w:rsidR="00F9345E">
        <w:rPr>
          <w:color w:val="000000"/>
        </w:rPr>
        <w:t xml:space="preserve"> </w:t>
      </w:r>
      <w:r w:rsidR="00A634BA">
        <w:rPr>
          <w:color w:val="000000"/>
        </w:rPr>
        <w:t>statement</w:t>
      </w:r>
      <w:r w:rsidR="00097B56">
        <w:rPr>
          <w:color w:val="000000"/>
        </w:rPr>
        <w:t xml:space="preserve"> of</w:t>
      </w:r>
      <w:r w:rsidR="00D07D6C">
        <w:rPr>
          <w:color w:val="000000"/>
        </w:rPr>
        <w:t xml:space="preserve"> the factors of section 48.031</w:t>
      </w:r>
      <w:r w:rsidR="00012225">
        <w:rPr>
          <w:color w:val="000000"/>
        </w:rPr>
        <w:t>(1)(a)</w:t>
      </w:r>
      <w:r w:rsidR="00D07D6C">
        <w:rPr>
          <w:color w:val="000000"/>
        </w:rPr>
        <w:t xml:space="preserve"> in a return of service</w:t>
      </w:r>
      <w:r w:rsidR="00F54118">
        <w:rPr>
          <w:color w:val="000000"/>
        </w:rPr>
        <w:t xml:space="preserve"> in order for the return to be facially valid</w:t>
      </w:r>
      <w:r w:rsidR="00B900CB">
        <w:t xml:space="preserve">.  </w:t>
      </w:r>
      <w:r w:rsidR="00691A0C">
        <w:t xml:space="preserve">Accordingly, we </w:t>
      </w:r>
      <w:r w:rsidR="00662864">
        <w:t xml:space="preserve">approve </w:t>
      </w:r>
      <w:r w:rsidR="00691A0C">
        <w:t xml:space="preserve">the Second District’s </w:t>
      </w:r>
      <w:r w:rsidR="009E76DB">
        <w:t>determination</w:t>
      </w:r>
      <w:r w:rsidR="002973B2">
        <w:t xml:space="preserve"> in </w:t>
      </w:r>
      <w:r w:rsidR="002973B2" w:rsidRPr="002973B2">
        <w:rPr>
          <w:u w:val="single"/>
        </w:rPr>
        <w:t>Koster</w:t>
      </w:r>
      <w:r w:rsidR="009E76DB">
        <w:t xml:space="preserve"> that the retu</w:t>
      </w:r>
      <w:r w:rsidR="00277BF5">
        <w:t>rn of service was facially valid</w:t>
      </w:r>
      <w:r w:rsidR="009E76DB">
        <w:t>.</w:t>
      </w:r>
    </w:p>
    <w:p w:rsidR="00D33512" w:rsidRDefault="00EF3F52" w:rsidP="00691A0C">
      <w:pPr>
        <w:spacing w:line="480" w:lineRule="auto"/>
        <w:ind w:firstLine="720"/>
      </w:pPr>
      <w:r>
        <w:t>It is so ordered.</w:t>
      </w:r>
    </w:p>
    <w:p w:rsidR="00E5692D" w:rsidRDefault="00E5692D" w:rsidP="00E5692D">
      <w:r>
        <w:t>PARIENTE, QUINCE, CANADY, POLSTON, and PERRY, JJ., concur.</w:t>
      </w:r>
    </w:p>
    <w:p w:rsidR="00E5692D" w:rsidRDefault="00E5692D" w:rsidP="00E5692D">
      <w:r>
        <w:t>LEWIS, J., concurs in result.</w:t>
      </w:r>
    </w:p>
    <w:p w:rsidR="00BA6531" w:rsidRDefault="00BA6531" w:rsidP="00E5692D"/>
    <w:p w:rsidR="00BA6531" w:rsidRDefault="00BA6531" w:rsidP="00E5692D">
      <w:r>
        <w:t xml:space="preserve">NOT FINAL UNTIL TIME EXPIRES TO FILE REHEARING MOTION, AND IF FILED, DETERMINED.  </w:t>
      </w:r>
    </w:p>
    <w:p w:rsidR="00E5692D" w:rsidRDefault="00E5692D" w:rsidP="00E5692D">
      <w:r>
        <w:t>Application for Review of the Decision of the District Court of Appeal - Certified Direct Conflict of Decisions</w:t>
      </w:r>
    </w:p>
    <w:p w:rsidR="00E5692D" w:rsidRDefault="00E5692D" w:rsidP="00E5692D"/>
    <w:p w:rsidR="00E5692D" w:rsidRDefault="00E87A87" w:rsidP="00E5692D">
      <w:r>
        <w:tab/>
        <w:t>Second</w:t>
      </w:r>
      <w:r w:rsidR="00E5692D">
        <w:t xml:space="preserve"> District - Case No. </w:t>
      </w:r>
      <w:r>
        <w:t>2D11-4766</w:t>
      </w:r>
    </w:p>
    <w:p w:rsidR="00E5692D" w:rsidRDefault="00E5692D" w:rsidP="00E5692D"/>
    <w:p w:rsidR="00E5692D" w:rsidRDefault="00E5692D" w:rsidP="00E5692D">
      <w:r>
        <w:tab/>
        <w:t>(</w:t>
      </w:r>
      <w:r w:rsidR="00E87A87">
        <w:t>Pinellas</w:t>
      </w:r>
      <w:r>
        <w:t xml:space="preserve"> County)</w:t>
      </w:r>
    </w:p>
    <w:p w:rsidR="00E5692D" w:rsidRDefault="00E5692D" w:rsidP="00E5692D"/>
    <w:p w:rsidR="00E5692D" w:rsidRDefault="00E87A87" w:rsidP="00E5692D">
      <w:r>
        <w:t>William Newt Hudson of the</w:t>
      </w:r>
      <w:r w:rsidR="008252B9">
        <w:t xml:space="preserve"> Law Offices of Wm</w:t>
      </w:r>
      <w:r>
        <w:t>. Newt Hudson, Tarpon Springs, Florida,</w:t>
      </w:r>
    </w:p>
    <w:p w:rsidR="00E5692D" w:rsidRDefault="00E5692D" w:rsidP="00E5692D"/>
    <w:p w:rsidR="00E5692D" w:rsidRDefault="00E5692D" w:rsidP="00E5692D">
      <w:r>
        <w:tab/>
        <w:t>for Petitioner</w:t>
      </w:r>
    </w:p>
    <w:p w:rsidR="00E5692D" w:rsidRDefault="00E5692D" w:rsidP="00E5692D"/>
    <w:p w:rsidR="00E5692D" w:rsidRDefault="003C5F67" w:rsidP="00E5692D">
      <w:r>
        <w:t xml:space="preserve">C. Philip Campbell, Jr., Duane </w:t>
      </w:r>
      <w:r w:rsidR="00E87A87">
        <w:t>A</w:t>
      </w:r>
      <w:r>
        <w:t>llan</w:t>
      </w:r>
      <w:r w:rsidR="00E87A87">
        <w:t xml:space="preserve"> Daiker, and Miche</w:t>
      </w:r>
      <w:r w:rsidR="006760F8">
        <w:t>le Leo Hin</w:t>
      </w:r>
      <w:r w:rsidR="00B153D3">
        <w:t>t</w:t>
      </w:r>
      <w:r w:rsidR="006760F8">
        <w:t>s</w:t>
      </w:r>
      <w:r w:rsidR="00E87A87">
        <w:t>on of Shumaker, Loop &amp; Kendrick, LLP, Tampa, Florida,</w:t>
      </w:r>
    </w:p>
    <w:p w:rsidR="00E5692D" w:rsidRDefault="00E5692D" w:rsidP="00E5692D"/>
    <w:p w:rsidR="00E5692D" w:rsidRDefault="00E5692D" w:rsidP="00E5692D">
      <w:r>
        <w:tab/>
        <w:t>for Respondent</w:t>
      </w:r>
    </w:p>
    <w:p w:rsidR="00E5692D" w:rsidRPr="00D9348E" w:rsidRDefault="00E5692D" w:rsidP="00691A0C">
      <w:pPr>
        <w:spacing w:line="480" w:lineRule="auto"/>
        <w:ind w:firstLine="720"/>
      </w:pPr>
    </w:p>
    <w:sectPr w:rsidR="00E5692D" w:rsidRPr="00D9348E" w:rsidSect="00D82C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6BB" w:rsidRDefault="00AA46BB">
      <w:r>
        <w:separator/>
      </w:r>
    </w:p>
  </w:endnote>
  <w:endnote w:type="continuationSeparator" w:id="0">
    <w:p w:rsidR="00AA46BB" w:rsidRDefault="00AA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loisterBlack BT">
    <w:panose1 w:val="03040802040608030504"/>
    <w:charset w:val="00"/>
    <w:family w:val="script"/>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BB" w:rsidRDefault="00AA46BB"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6BB" w:rsidRDefault="00AA46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6BB" w:rsidRDefault="00AA46BB"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0903">
      <w:rPr>
        <w:rStyle w:val="PageNumber"/>
        <w:noProof/>
      </w:rPr>
      <w:t>- 3 -</w:t>
    </w:r>
    <w:r>
      <w:rPr>
        <w:rStyle w:val="PageNumber"/>
      </w:rPr>
      <w:fldChar w:fldCharType="end"/>
    </w:r>
  </w:p>
  <w:p w:rsidR="00AA46BB" w:rsidRDefault="00AA46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03" w:rsidRDefault="00240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6BB" w:rsidRDefault="00AA46BB">
      <w:r>
        <w:separator/>
      </w:r>
    </w:p>
  </w:footnote>
  <w:footnote w:type="continuationSeparator" w:id="0">
    <w:p w:rsidR="00AA46BB" w:rsidRDefault="00AA46BB">
      <w:r>
        <w:continuationSeparator/>
      </w:r>
    </w:p>
  </w:footnote>
  <w:footnote w:id="1">
    <w:p w:rsidR="00AA46BB" w:rsidRPr="00204053" w:rsidRDefault="00AA46BB" w:rsidP="00204053">
      <w:pPr>
        <w:pStyle w:val="FootnoteText"/>
        <w:spacing w:after="240"/>
        <w:rPr>
          <w:sz w:val="28"/>
        </w:rPr>
      </w:pPr>
      <w:r>
        <w:rPr>
          <w:sz w:val="28"/>
        </w:rPr>
        <w:tab/>
      </w:r>
      <w:r w:rsidRPr="00204053">
        <w:rPr>
          <w:rStyle w:val="FootnoteReference"/>
          <w:sz w:val="28"/>
          <w:vertAlign w:val="baseline"/>
        </w:rPr>
        <w:footnoteRef/>
      </w:r>
      <w:r>
        <w:rPr>
          <w:sz w:val="28"/>
        </w:rPr>
        <w:t xml:space="preserve">.  These decisions were: </w:t>
      </w:r>
      <w:r w:rsidRPr="00204053">
        <w:rPr>
          <w:sz w:val="28"/>
          <w:u w:val="single"/>
        </w:rPr>
        <w:t>Robles-Martinez v. Diaz, Reus, &amp; Targ, LLP</w:t>
      </w:r>
      <w:r>
        <w:rPr>
          <w:sz w:val="28"/>
        </w:rPr>
        <w:t xml:space="preserve">, 88 So. 3d 177 (Fla. 3d DCA 2011); </w:t>
      </w:r>
      <w:r w:rsidRPr="00204053">
        <w:rPr>
          <w:sz w:val="28"/>
          <w:u w:val="single"/>
        </w:rPr>
        <w:t>Gonzalez v. Totalbank</w:t>
      </w:r>
      <w:r>
        <w:rPr>
          <w:sz w:val="28"/>
        </w:rPr>
        <w:t xml:space="preserve">, 472 So. 2d 861 (Fla. 3d DCA 1985); and </w:t>
      </w:r>
      <w:r w:rsidRPr="00EC5C90">
        <w:rPr>
          <w:sz w:val="28"/>
          <w:u w:val="single"/>
        </w:rPr>
        <w:t xml:space="preserve">Herskowitz v. </w:t>
      </w:r>
      <w:r>
        <w:rPr>
          <w:sz w:val="28"/>
          <w:u w:val="single"/>
        </w:rPr>
        <w:t>Schwar</w:t>
      </w:r>
      <w:r w:rsidRPr="00EC5C90">
        <w:rPr>
          <w:sz w:val="28"/>
          <w:u w:val="single"/>
        </w:rPr>
        <w:t>z &amp; Schiffrin</w:t>
      </w:r>
      <w:r>
        <w:rPr>
          <w:sz w:val="28"/>
        </w:rPr>
        <w:t xml:space="preserve">, 411 So. 2d 1359 (Fla. 3d DCA 1982).  </w:t>
      </w:r>
    </w:p>
  </w:footnote>
  <w:footnote w:id="2">
    <w:p w:rsidR="00AA46BB" w:rsidRPr="00CA0CB4" w:rsidRDefault="00AA46BB" w:rsidP="00D6604A">
      <w:pPr>
        <w:ind w:right="720"/>
      </w:pPr>
      <w:r>
        <w:tab/>
        <w:t xml:space="preserve">2.  The applicable portion of section 48.21 was amended by chapter 2011-159, § 5, at 2863, Laws of Florida, after the service of process in </w:t>
      </w:r>
      <w:r w:rsidRPr="00AF2B5F">
        <w:rPr>
          <w:u w:val="single"/>
        </w:rPr>
        <w:t>Koster</w:t>
      </w:r>
      <w:r>
        <w:t xml:space="preserve">.  However, the amendments concern only the signature of the person who effects service of process and do not affect the issues raised in the certified question or this Court’s analysis.  </w:t>
      </w:r>
    </w:p>
  </w:footnote>
  <w:footnote w:id="3">
    <w:p w:rsidR="00AA46BB" w:rsidRPr="00611AC7" w:rsidRDefault="00AA46BB" w:rsidP="00611AC7">
      <w:pPr>
        <w:pStyle w:val="FootnoteText"/>
        <w:spacing w:after="240"/>
        <w:rPr>
          <w:sz w:val="28"/>
        </w:rPr>
      </w:pPr>
      <w:r>
        <w:rPr>
          <w:sz w:val="28"/>
        </w:rPr>
        <w:tab/>
      </w:r>
      <w:r w:rsidRPr="00611AC7">
        <w:rPr>
          <w:rStyle w:val="FootnoteReference"/>
          <w:sz w:val="28"/>
          <w:vertAlign w:val="baseline"/>
        </w:rPr>
        <w:footnoteRef/>
      </w:r>
      <w:r>
        <w:rPr>
          <w:sz w:val="28"/>
        </w:rPr>
        <w:t>.  Although, it also provides that the return may be amended.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03" w:rsidRDefault="002409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03" w:rsidRDefault="002409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03" w:rsidRDefault="002409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48E"/>
    <w:rsid w:val="0000421B"/>
    <w:rsid w:val="000057ED"/>
    <w:rsid w:val="00012225"/>
    <w:rsid w:val="00017942"/>
    <w:rsid w:val="00017A07"/>
    <w:rsid w:val="0002050A"/>
    <w:rsid w:val="00032E8E"/>
    <w:rsid w:val="00037353"/>
    <w:rsid w:val="00042E59"/>
    <w:rsid w:val="00042F6F"/>
    <w:rsid w:val="00046818"/>
    <w:rsid w:val="00053003"/>
    <w:rsid w:val="00053040"/>
    <w:rsid w:val="00055DD9"/>
    <w:rsid w:val="000609BF"/>
    <w:rsid w:val="00066AC1"/>
    <w:rsid w:val="00076B58"/>
    <w:rsid w:val="000850AB"/>
    <w:rsid w:val="000948FE"/>
    <w:rsid w:val="000971A3"/>
    <w:rsid w:val="00097B56"/>
    <w:rsid w:val="000A0A9E"/>
    <w:rsid w:val="000A28E2"/>
    <w:rsid w:val="000A683D"/>
    <w:rsid w:val="000C3BD2"/>
    <w:rsid w:val="000C46B1"/>
    <w:rsid w:val="000C5895"/>
    <w:rsid w:val="000D5DB2"/>
    <w:rsid w:val="000D7DA7"/>
    <w:rsid w:val="000E278B"/>
    <w:rsid w:val="000E2CDD"/>
    <w:rsid w:val="000E610A"/>
    <w:rsid w:val="000E7851"/>
    <w:rsid w:val="000F2898"/>
    <w:rsid w:val="00106BE4"/>
    <w:rsid w:val="00107551"/>
    <w:rsid w:val="00107AFC"/>
    <w:rsid w:val="00112D58"/>
    <w:rsid w:val="00113B15"/>
    <w:rsid w:val="00114D65"/>
    <w:rsid w:val="00122377"/>
    <w:rsid w:val="00132C31"/>
    <w:rsid w:val="00133F3D"/>
    <w:rsid w:val="001352A2"/>
    <w:rsid w:val="00150D8E"/>
    <w:rsid w:val="00160145"/>
    <w:rsid w:val="001741E8"/>
    <w:rsid w:val="00180125"/>
    <w:rsid w:val="00186996"/>
    <w:rsid w:val="001928D5"/>
    <w:rsid w:val="00192A10"/>
    <w:rsid w:val="001A3C1C"/>
    <w:rsid w:val="001A49E7"/>
    <w:rsid w:val="001A7374"/>
    <w:rsid w:val="001A7B4A"/>
    <w:rsid w:val="001B0BC1"/>
    <w:rsid w:val="001C7D30"/>
    <w:rsid w:val="001D6DAE"/>
    <w:rsid w:val="001E3612"/>
    <w:rsid w:val="001F447F"/>
    <w:rsid w:val="001F78F7"/>
    <w:rsid w:val="002001FD"/>
    <w:rsid w:val="00202F56"/>
    <w:rsid w:val="00203888"/>
    <w:rsid w:val="00204053"/>
    <w:rsid w:val="00217437"/>
    <w:rsid w:val="002229FA"/>
    <w:rsid w:val="00233C86"/>
    <w:rsid w:val="00237481"/>
    <w:rsid w:val="00240903"/>
    <w:rsid w:val="002438E3"/>
    <w:rsid w:val="00245902"/>
    <w:rsid w:val="00251B2B"/>
    <w:rsid w:val="0025484A"/>
    <w:rsid w:val="00254CEC"/>
    <w:rsid w:val="00255C3C"/>
    <w:rsid w:val="00257A1B"/>
    <w:rsid w:val="0026247F"/>
    <w:rsid w:val="00263586"/>
    <w:rsid w:val="00265C2C"/>
    <w:rsid w:val="0026640F"/>
    <w:rsid w:val="00267038"/>
    <w:rsid w:val="0027078B"/>
    <w:rsid w:val="00276636"/>
    <w:rsid w:val="00277BF5"/>
    <w:rsid w:val="002815DD"/>
    <w:rsid w:val="00281C1E"/>
    <w:rsid w:val="00286822"/>
    <w:rsid w:val="00292C1E"/>
    <w:rsid w:val="002933A0"/>
    <w:rsid w:val="00295BC4"/>
    <w:rsid w:val="002973B2"/>
    <w:rsid w:val="002976A3"/>
    <w:rsid w:val="002B1E92"/>
    <w:rsid w:val="002B4DDA"/>
    <w:rsid w:val="002B64E3"/>
    <w:rsid w:val="002B6D82"/>
    <w:rsid w:val="002C1058"/>
    <w:rsid w:val="002C13D4"/>
    <w:rsid w:val="002C1C9D"/>
    <w:rsid w:val="002C7D1A"/>
    <w:rsid w:val="002D0152"/>
    <w:rsid w:val="002D5D28"/>
    <w:rsid w:val="002E0773"/>
    <w:rsid w:val="002E6663"/>
    <w:rsid w:val="002E78F9"/>
    <w:rsid w:val="002F45A6"/>
    <w:rsid w:val="002F5281"/>
    <w:rsid w:val="002F53EF"/>
    <w:rsid w:val="003031AD"/>
    <w:rsid w:val="00306728"/>
    <w:rsid w:val="00307272"/>
    <w:rsid w:val="003125CD"/>
    <w:rsid w:val="00314D0C"/>
    <w:rsid w:val="00322E30"/>
    <w:rsid w:val="003259BD"/>
    <w:rsid w:val="00331AD2"/>
    <w:rsid w:val="00336D80"/>
    <w:rsid w:val="00342AD7"/>
    <w:rsid w:val="003551C5"/>
    <w:rsid w:val="003569DE"/>
    <w:rsid w:val="0035706A"/>
    <w:rsid w:val="003665B9"/>
    <w:rsid w:val="00367DA5"/>
    <w:rsid w:val="00370EBB"/>
    <w:rsid w:val="003739EE"/>
    <w:rsid w:val="003869FF"/>
    <w:rsid w:val="0039213D"/>
    <w:rsid w:val="003963B8"/>
    <w:rsid w:val="003963E1"/>
    <w:rsid w:val="003A4D7E"/>
    <w:rsid w:val="003A6705"/>
    <w:rsid w:val="003B2808"/>
    <w:rsid w:val="003C5F67"/>
    <w:rsid w:val="003D26E0"/>
    <w:rsid w:val="003D6850"/>
    <w:rsid w:val="003D753D"/>
    <w:rsid w:val="003D7F3C"/>
    <w:rsid w:val="003E5E54"/>
    <w:rsid w:val="003F049E"/>
    <w:rsid w:val="003F0904"/>
    <w:rsid w:val="003F1C74"/>
    <w:rsid w:val="004068C4"/>
    <w:rsid w:val="0041038C"/>
    <w:rsid w:val="00415400"/>
    <w:rsid w:val="004250A0"/>
    <w:rsid w:val="004320CA"/>
    <w:rsid w:val="00453D45"/>
    <w:rsid w:val="004630A4"/>
    <w:rsid w:val="0046728F"/>
    <w:rsid w:val="004727F2"/>
    <w:rsid w:val="00474219"/>
    <w:rsid w:val="00483040"/>
    <w:rsid w:val="0048448D"/>
    <w:rsid w:val="00487EAB"/>
    <w:rsid w:val="0049755B"/>
    <w:rsid w:val="00497A9B"/>
    <w:rsid w:val="004A1B73"/>
    <w:rsid w:val="004A3FD4"/>
    <w:rsid w:val="004A799A"/>
    <w:rsid w:val="004B0D96"/>
    <w:rsid w:val="004B2227"/>
    <w:rsid w:val="004C24AE"/>
    <w:rsid w:val="004D0E71"/>
    <w:rsid w:val="004E0E4F"/>
    <w:rsid w:val="004E0E9B"/>
    <w:rsid w:val="004E180B"/>
    <w:rsid w:val="004F2FAF"/>
    <w:rsid w:val="004F4A92"/>
    <w:rsid w:val="00512623"/>
    <w:rsid w:val="0051600F"/>
    <w:rsid w:val="005202D6"/>
    <w:rsid w:val="00527419"/>
    <w:rsid w:val="00531C1B"/>
    <w:rsid w:val="005336C3"/>
    <w:rsid w:val="00536CFE"/>
    <w:rsid w:val="005527DE"/>
    <w:rsid w:val="0055403A"/>
    <w:rsid w:val="00554F4C"/>
    <w:rsid w:val="00564C9E"/>
    <w:rsid w:val="005707CF"/>
    <w:rsid w:val="00574943"/>
    <w:rsid w:val="00574A20"/>
    <w:rsid w:val="005A074C"/>
    <w:rsid w:val="005A799D"/>
    <w:rsid w:val="005B4489"/>
    <w:rsid w:val="005C10EB"/>
    <w:rsid w:val="005C64A2"/>
    <w:rsid w:val="005C7B21"/>
    <w:rsid w:val="005D6834"/>
    <w:rsid w:val="005E0220"/>
    <w:rsid w:val="005E2390"/>
    <w:rsid w:val="005E423D"/>
    <w:rsid w:val="005E6F31"/>
    <w:rsid w:val="005F768C"/>
    <w:rsid w:val="00604F93"/>
    <w:rsid w:val="00611AC7"/>
    <w:rsid w:val="00614CB3"/>
    <w:rsid w:val="00623203"/>
    <w:rsid w:val="006241D2"/>
    <w:rsid w:val="00627E06"/>
    <w:rsid w:val="006310FE"/>
    <w:rsid w:val="006424F3"/>
    <w:rsid w:val="00656F05"/>
    <w:rsid w:val="00660A69"/>
    <w:rsid w:val="0066118B"/>
    <w:rsid w:val="00662864"/>
    <w:rsid w:val="006760F8"/>
    <w:rsid w:val="0067632F"/>
    <w:rsid w:val="00682EC4"/>
    <w:rsid w:val="00691A0C"/>
    <w:rsid w:val="006948FF"/>
    <w:rsid w:val="006A25A9"/>
    <w:rsid w:val="006A3F34"/>
    <w:rsid w:val="006A55F0"/>
    <w:rsid w:val="006A56D9"/>
    <w:rsid w:val="006A6632"/>
    <w:rsid w:val="006B054E"/>
    <w:rsid w:val="006B6FFF"/>
    <w:rsid w:val="006C7000"/>
    <w:rsid w:val="006D0B6C"/>
    <w:rsid w:val="006D506A"/>
    <w:rsid w:val="006D5E13"/>
    <w:rsid w:val="006D6C62"/>
    <w:rsid w:val="006E03D7"/>
    <w:rsid w:val="006E4048"/>
    <w:rsid w:val="006F269C"/>
    <w:rsid w:val="006F3A40"/>
    <w:rsid w:val="006F4C8B"/>
    <w:rsid w:val="00712316"/>
    <w:rsid w:val="00714C5D"/>
    <w:rsid w:val="00714CB3"/>
    <w:rsid w:val="00730BFA"/>
    <w:rsid w:val="00733B5C"/>
    <w:rsid w:val="00734452"/>
    <w:rsid w:val="00742001"/>
    <w:rsid w:val="0074440E"/>
    <w:rsid w:val="0076537A"/>
    <w:rsid w:val="00765801"/>
    <w:rsid w:val="00771F9C"/>
    <w:rsid w:val="007731FF"/>
    <w:rsid w:val="00780E95"/>
    <w:rsid w:val="00782E08"/>
    <w:rsid w:val="007847A0"/>
    <w:rsid w:val="007866F9"/>
    <w:rsid w:val="007951EF"/>
    <w:rsid w:val="007A396F"/>
    <w:rsid w:val="007A4D25"/>
    <w:rsid w:val="007B3B69"/>
    <w:rsid w:val="007D18C0"/>
    <w:rsid w:val="007D310E"/>
    <w:rsid w:val="007D47CF"/>
    <w:rsid w:val="007E2472"/>
    <w:rsid w:val="007E3B2D"/>
    <w:rsid w:val="007E4A76"/>
    <w:rsid w:val="007E6990"/>
    <w:rsid w:val="007F1A84"/>
    <w:rsid w:val="007F24C9"/>
    <w:rsid w:val="007F27E1"/>
    <w:rsid w:val="007F34DE"/>
    <w:rsid w:val="00803E00"/>
    <w:rsid w:val="008046F2"/>
    <w:rsid w:val="00807DEA"/>
    <w:rsid w:val="0081236C"/>
    <w:rsid w:val="00814C91"/>
    <w:rsid w:val="008252B9"/>
    <w:rsid w:val="00835BB1"/>
    <w:rsid w:val="00843777"/>
    <w:rsid w:val="00845B12"/>
    <w:rsid w:val="00853A53"/>
    <w:rsid w:val="00853EA7"/>
    <w:rsid w:val="00860CDB"/>
    <w:rsid w:val="00862C83"/>
    <w:rsid w:val="008761BE"/>
    <w:rsid w:val="00876DBD"/>
    <w:rsid w:val="00877B11"/>
    <w:rsid w:val="00890714"/>
    <w:rsid w:val="00894BB8"/>
    <w:rsid w:val="008A06B1"/>
    <w:rsid w:val="008A3F08"/>
    <w:rsid w:val="008A4F91"/>
    <w:rsid w:val="008A6487"/>
    <w:rsid w:val="008C01B8"/>
    <w:rsid w:val="008E5A90"/>
    <w:rsid w:val="008E5B01"/>
    <w:rsid w:val="008F29C5"/>
    <w:rsid w:val="008F57A4"/>
    <w:rsid w:val="00907D85"/>
    <w:rsid w:val="00915321"/>
    <w:rsid w:val="009169FC"/>
    <w:rsid w:val="009206F0"/>
    <w:rsid w:val="009236D6"/>
    <w:rsid w:val="009272FC"/>
    <w:rsid w:val="009340D3"/>
    <w:rsid w:val="00935D45"/>
    <w:rsid w:val="00944C4A"/>
    <w:rsid w:val="009619B1"/>
    <w:rsid w:val="009665B3"/>
    <w:rsid w:val="00973281"/>
    <w:rsid w:val="00973F3E"/>
    <w:rsid w:val="0097700D"/>
    <w:rsid w:val="00987291"/>
    <w:rsid w:val="009900A9"/>
    <w:rsid w:val="00991A72"/>
    <w:rsid w:val="009953FC"/>
    <w:rsid w:val="009A78C6"/>
    <w:rsid w:val="009B4F22"/>
    <w:rsid w:val="009B5273"/>
    <w:rsid w:val="009C5886"/>
    <w:rsid w:val="009D4542"/>
    <w:rsid w:val="009D6A79"/>
    <w:rsid w:val="009E061E"/>
    <w:rsid w:val="009E36BE"/>
    <w:rsid w:val="009E4606"/>
    <w:rsid w:val="009E76DB"/>
    <w:rsid w:val="009F7BCA"/>
    <w:rsid w:val="00A00CFE"/>
    <w:rsid w:val="00A13EBD"/>
    <w:rsid w:val="00A2055C"/>
    <w:rsid w:val="00A30E69"/>
    <w:rsid w:val="00A33714"/>
    <w:rsid w:val="00A35529"/>
    <w:rsid w:val="00A5057A"/>
    <w:rsid w:val="00A53D09"/>
    <w:rsid w:val="00A5751D"/>
    <w:rsid w:val="00A57A18"/>
    <w:rsid w:val="00A60B9D"/>
    <w:rsid w:val="00A634BA"/>
    <w:rsid w:val="00A65437"/>
    <w:rsid w:val="00A67001"/>
    <w:rsid w:val="00A67994"/>
    <w:rsid w:val="00A753D5"/>
    <w:rsid w:val="00A75632"/>
    <w:rsid w:val="00A8694E"/>
    <w:rsid w:val="00A911A3"/>
    <w:rsid w:val="00AA46BB"/>
    <w:rsid w:val="00AA688C"/>
    <w:rsid w:val="00AC2CB6"/>
    <w:rsid w:val="00AC65B3"/>
    <w:rsid w:val="00AD0AF2"/>
    <w:rsid w:val="00AD2A5D"/>
    <w:rsid w:val="00AE0EFA"/>
    <w:rsid w:val="00AE3DCE"/>
    <w:rsid w:val="00AE45F1"/>
    <w:rsid w:val="00AE4D68"/>
    <w:rsid w:val="00B153D3"/>
    <w:rsid w:val="00B17621"/>
    <w:rsid w:val="00B43CEA"/>
    <w:rsid w:val="00B47684"/>
    <w:rsid w:val="00B518FB"/>
    <w:rsid w:val="00B645BE"/>
    <w:rsid w:val="00B76564"/>
    <w:rsid w:val="00B80EAA"/>
    <w:rsid w:val="00B900CB"/>
    <w:rsid w:val="00B9109C"/>
    <w:rsid w:val="00B9413D"/>
    <w:rsid w:val="00B94FAC"/>
    <w:rsid w:val="00BA0F38"/>
    <w:rsid w:val="00BA6531"/>
    <w:rsid w:val="00BB0505"/>
    <w:rsid w:val="00BB10E5"/>
    <w:rsid w:val="00BC2C0C"/>
    <w:rsid w:val="00BC4E09"/>
    <w:rsid w:val="00BF2117"/>
    <w:rsid w:val="00BF29CD"/>
    <w:rsid w:val="00BF53CA"/>
    <w:rsid w:val="00C06989"/>
    <w:rsid w:val="00C130C7"/>
    <w:rsid w:val="00C25686"/>
    <w:rsid w:val="00C33EDD"/>
    <w:rsid w:val="00C34301"/>
    <w:rsid w:val="00C36303"/>
    <w:rsid w:val="00C46666"/>
    <w:rsid w:val="00C578B1"/>
    <w:rsid w:val="00C6098F"/>
    <w:rsid w:val="00C60B25"/>
    <w:rsid w:val="00C61508"/>
    <w:rsid w:val="00C63F85"/>
    <w:rsid w:val="00C649D6"/>
    <w:rsid w:val="00C71A7A"/>
    <w:rsid w:val="00C76974"/>
    <w:rsid w:val="00C76EDA"/>
    <w:rsid w:val="00C9787B"/>
    <w:rsid w:val="00CA2139"/>
    <w:rsid w:val="00CC7FBD"/>
    <w:rsid w:val="00CD22AC"/>
    <w:rsid w:val="00CD5028"/>
    <w:rsid w:val="00CD7F04"/>
    <w:rsid w:val="00CE1D4C"/>
    <w:rsid w:val="00CE7687"/>
    <w:rsid w:val="00CF49D5"/>
    <w:rsid w:val="00CF4A5F"/>
    <w:rsid w:val="00D05555"/>
    <w:rsid w:val="00D07D6C"/>
    <w:rsid w:val="00D21BF2"/>
    <w:rsid w:val="00D33512"/>
    <w:rsid w:val="00D34093"/>
    <w:rsid w:val="00D413F7"/>
    <w:rsid w:val="00D47383"/>
    <w:rsid w:val="00D579CC"/>
    <w:rsid w:val="00D64A88"/>
    <w:rsid w:val="00D6604A"/>
    <w:rsid w:val="00D825A6"/>
    <w:rsid w:val="00D82CB1"/>
    <w:rsid w:val="00D84E82"/>
    <w:rsid w:val="00D9348E"/>
    <w:rsid w:val="00D96F6C"/>
    <w:rsid w:val="00DA02C5"/>
    <w:rsid w:val="00DA2445"/>
    <w:rsid w:val="00DB0CBD"/>
    <w:rsid w:val="00DC417A"/>
    <w:rsid w:val="00DC6EE7"/>
    <w:rsid w:val="00DD266E"/>
    <w:rsid w:val="00DD339A"/>
    <w:rsid w:val="00DD705F"/>
    <w:rsid w:val="00DE1633"/>
    <w:rsid w:val="00DE6919"/>
    <w:rsid w:val="00DF0A1C"/>
    <w:rsid w:val="00DF14DA"/>
    <w:rsid w:val="00E1158D"/>
    <w:rsid w:val="00E13B27"/>
    <w:rsid w:val="00E13D27"/>
    <w:rsid w:val="00E169B2"/>
    <w:rsid w:val="00E17C10"/>
    <w:rsid w:val="00E20AAC"/>
    <w:rsid w:val="00E30110"/>
    <w:rsid w:val="00E33062"/>
    <w:rsid w:val="00E50DA9"/>
    <w:rsid w:val="00E527D5"/>
    <w:rsid w:val="00E544CD"/>
    <w:rsid w:val="00E554D7"/>
    <w:rsid w:val="00E5692D"/>
    <w:rsid w:val="00E74DFD"/>
    <w:rsid w:val="00E831D1"/>
    <w:rsid w:val="00E8421E"/>
    <w:rsid w:val="00E84996"/>
    <w:rsid w:val="00E87A87"/>
    <w:rsid w:val="00E921D5"/>
    <w:rsid w:val="00E935F5"/>
    <w:rsid w:val="00E93A96"/>
    <w:rsid w:val="00EA6F3B"/>
    <w:rsid w:val="00EB124B"/>
    <w:rsid w:val="00EB3FB6"/>
    <w:rsid w:val="00EB5903"/>
    <w:rsid w:val="00EC5C90"/>
    <w:rsid w:val="00ED6A75"/>
    <w:rsid w:val="00EE228A"/>
    <w:rsid w:val="00EE4AE0"/>
    <w:rsid w:val="00EE576A"/>
    <w:rsid w:val="00EF3F52"/>
    <w:rsid w:val="00EF5673"/>
    <w:rsid w:val="00F02193"/>
    <w:rsid w:val="00F05E63"/>
    <w:rsid w:val="00F14E01"/>
    <w:rsid w:val="00F15AE8"/>
    <w:rsid w:val="00F21E46"/>
    <w:rsid w:val="00F303F2"/>
    <w:rsid w:val="00F3178D"/>
    <w:rsid w:val="00F33C86"/>
    <w:rsid w:val="00F40046"/>
    <w:rsid w:val="00F41E25"/>
    <w:rsid w:val="00F45FA9"/>
    <w:rsid w:val="00F50790"/>
    <w:rsid w:val="00F54118"/>
    <w:rsid w:val="00F61ACB"/>
    <w:rsid w:val="00F61B7E"/>
    <w:rsid w:val="00F652ED"/>
    <w:rsid w:val="00F6627D"/>
    <w:rsid w:val="00F8101A"/>
    <w:rsid w:val="00F9208B"/>
    <w:rsid w:val="00F9345E"/>
    <w:rsid w:val="00F9586A"/>
    <w:rsid w:val="00F97D04"/>
    <w:rsid w:val="00FB10B2"/>
    <w:rsid w:val="00FB7BB0"/>
    <w:rsid w:val="00FC0C62"/>
    <w:rsid w:val="00FC4FA7"/>
    <w:rsid w:val="00FC5120"/>
    <w:rsid w:val="00FC5CEB"/>
    <w:rsid w:val="00FD66ED"/>
    <w:rsid w:val="00FD7330"/>
    <w:rsid w:val="00FE745A"/>
    <w:rsid w:val="00FE7560"/>
    <w:rsid w:val="00FF4CF7"/>
    <w:rsid w:val="00FF630C"/>
    <w:rsid w:val="00FF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CEB"/>
    <w:rPr>
      <w:sz w:val="28"/>
      <w:szCs w:val="28"/>
    </w:rPr>
  </w:style>
  <w:style w:type="paragraph" w:styleId="Heading1">
    <w:name w:val="heading 1"/>
    <w:basedOn w:val="Normal"/>
    <w:next w:val="Normal"/>
    <w:qFormat/>
    <w:rsid w:val="00FC5CEB"/>
    <w:pPr>
      <w:spacing w:after="240"/>
      <w:jc w:val="center"/>
      <w:outlineLvl w:val="0"/>
    </w:pPr>
    <w:rPr>
      <w:rFonts w:cs="Arial"/>
      <w:b/>
      <w:bCs/>
      <w:u w:val="single"/>
    </w:rPr>
  </w:style>
  <w:style w:type="paragraph" w:styleId="Heading2">
    <w:name w:val="heading 2"/>
    <w:basedOn w:val="Normal"/>
    <w:next w:val="Normal"/>
    <w:qFormat/>
    <w:rsid w:val="00FC5CEB"/>
    <w:pPr>
      <w:spacing w:after="240"/>
      <w:outlineLvl w:val="1"/>
    </w:pPr>
    <w:rPr>
      <w:rFonts w:cs="Arial"/>
      <w:b/>
      <w:bCs/>
      <w:iCs/>
    </w:rPr>
  </w:style>
  <w:style w:type="paragraph" w:styleId="Heading3">
    <w:name w:val="heading 3"/>
    <w:basedOn w:val="Normal"/>
    <w:next w:val="Normal"/>
    <w:qFormat/>
    <w:rsid w:val="00FC5CEB"/>
    <w:pPr>
      <w:spacing w:after="240"/>
      <w:ind w:firstLine="72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C5CEB"/>
    <w:pPr>
      <w:tabs>
        <w:tab w:val="center" w:pos="4680"/>
        <w:tab w:val="right" w:pos="9360"/>
      </w:tabs>
    </w:pPr>
  </w:style>
  <w:style w:type="character" w:styleId="PageNumber">
    <w:name w:val="page number"/>
    <w:basedOn w:val="DefaultParagraphFont"/>
    <w:semiHidden/>
    <w:rsid w:val="00FC5CEB"/>
  </w:style>
  <w:style w:type="paragraph" w:customStyle="1" w:styleId="BlockIndent1">
    <w:name w:val="Block Indent 1"/>
    <w:basedOn w:val="Normal"/>
    <w:next w:val="Normal"/>
    <w:rsid w:val="00FC5CEB"/>
    <w:pPr>
      <w:spacing w:after="240"/>
      <w:ind w:left="720" w:right="720"/>
    </w:pPr>
  </w:style>
  <w:style w:type="paragraph" w:customStyle="1" w:styleId="BlockIndent2">
    <w:name w:val="Block Indent 2"/>
    <w:basedOn w:val="Normal"/>
    <w:next w:val="Normal"/>
    <w:rsid w:val="00FC5CEB"/>
    <w:pPr>
      <w:spacing w:after="240"/>
      <w:ind w:left="1440" w:right="1440"/>
    </w:pPr>
  </w:style>
  <w:style w:type="paragraph" w:customStyle="1" w:styleId="BlockIndent3">
    <w:name w:val="Block Indent 3"/>
    <w:basedOn w:val="Normal"/>
    <w:next w:val="Normal"/>
    <w:rsid w:val="00FC5CEB"/>
    <w:pPr>
      <w:spacing w:after="240"/>
      <w:ind w:left="2160" w:right="2160"/>
    </w:pPr>
  </w:style>
  <w:style w:type="character" w:styleId="FootnoteReference">
    <w:name w:val="footnote reference"/>
    <w:basedOn w:val="DefaultParagraphFont"/>
    <w:semiHidden/>
    <w:rsid w:val="00FC5CEB"/>
    <w:rPr>
      <w:vertAlign w:val="superscript"/>
    </w:rPr>
  </w:style>
  <w:style w:type="paragraph" w:styleId="FootnoteText">
    <w:name w:val="footnote text"/>
    <w:basedOn w:val="Normal"/>
    <w:semiHidden/>
    <w:rsid w:val="00FC5CEB"/>
    <w:rPr>
      <w:sz w:val="20"/>
      <w:szCs w:val="20"/>
    </w:rPr>
  </w:style>
  <w:style w:type="paragraph" w:styleId="Header">
    <w:name w:val="header"/>
    <w:basedOn w:val="Normal"/>
    <w:semiHidden/>
    <w:rsid w:val="00FC5CEB"/>
    <w:pPr>
      <w:tabs>
        <w:tab w:val="center" w:pos="4680"/>
        <w:tab w:val="right" w:pos="9360"/>
      </w:tabs>
    </w:pPr>
  </w:style>
  <w:style w:type="paragraph" w:customStyle="1" w:styleId="OASummary1">
    <w:name w:val="OA Summary 1"/>
    <w:basedOn w:val="Normal"/>
    <w:rsid w:val="00FC5CEB"/>
    <w:pPr>
      <w:jc w:val="center"/>
    </w:pPr>
    <w:rPr>
      <w:b/>
      <w:sz w:val="32"/>
      <w:szCs w:val="32"/>
    </w:rPr>
  </w:style>
  <w:style w:type="paragraph" w:customStyle="1" w:styleId="OASummary2">
    <w:name w:val="OA Summary 2"/>
    <w:basedOn w:val="Normal"/>
    <w:link w:val="OASummary2Char"/>
    <w:rsid w:val="00FC5CEB"/>
    <w:rPr>
      <w:b/>
      <w:u w:val="single"/>
    </w:rPr>
  </w:style>
  <w:style w:type="character" w:customStyle="1" w:styleId="OASummary2Char">
    <w:name w:val="OA Summary 2 Char"/>
    <w:basedOn w:val="DefaultParagraphFont"/>
    <w:link w:val="OASummary2"/>
    <w:rsid w:val="00FC5CEB"/>
    <w:rPr>
      <w:b/>
      <w:sz w:val="28"/>
      <w:szCs w:val="28"/>
      <w:u w:val="single"/>
      <w:lang w:val="en-US" w:eastAsia="en-US" w:bidi="ar-SA"/>
    </w:rPr>
  </w:style>
  <w:style w:type="paragraph" w:customStyle="1" w:styleId="OASummary3">
    <w:name w:val="OA Summary 3"/>
    <w:basedOn w:val="Normal"/>
    <w:rsid w:val="00FC5CEB"/>
    <w:pPr>
      <w:jc w:val="center"/>
    </w:pPr>
    <w:rPr>
      <w:b/>
    </w:rPr>
  </w:style>
  <w:style w:type="paragraph" w:customStyle="1" w:styleId="OASummary4">
    <w:name w:val="OA Summary 4"/>
    <w:basedOn w:val="Normal"/>
    <w:rsid w:val="00FC5CEB"/>
    <w:pPr>
      <w:jc w:val="center"/>
    </w:pPr>
    <w:rPr>
      <w:b/>
      <w:u w:val="single"/>
    </w:rPr>
  </w:style>
  <w:style w:type="character" w:styleId="Hyperlink">
    <w:name w:val="Hyperlink"/>
    <w:uiPriority w:val="99"/>
    <w:rsid w:val="00D33512"/>
    <w:rPr>
      <w:color w:val="0000FF"/>
      <w:u w:val="single"/>
    </w:rPr>
  </w:style>
  <w:style w:type="paragraph" w:styleId="BalloonText">
    <w:name w:val="Balloon Text"/>
    <w:basedOn w:val="Normal"/>
    <w:link w:val="BalloonTextChar"/>
    <w:rsid w:val="00F61B7E"/>
    <w:rPr>
      <w:rFonts w:ascii="Segoe UI" w:hAnsi="Segoe UI" w:cs="Segoe UI"/>
      <w:sz w:val="18"/>
      <w:szCs w:val="18"/>
    </w:rPr>
  </w:style>
  <w:style w:type="character" w:customStyle="1" w:styleId="BalloonTextChar">
    <w:name w:val="Balloon Text Char"/>
    <w:basedOn w:val="DefaultParagraphFont"/>
    <w:link w:val="BalloonText"/>
    <w:rsid w:val="00F61B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2937</Words>
  <Characters>14728</Characters>
  <Application>Microsoft Office Word</Application>
  <DocSecurity>0</DocSecurity>
  <Lines>278</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dc:creator>
  <cp:keywords>
  </cp:keywords>
  <dc:description>
  </dc:description>
  <cp:lastModifiedBy>
  </cp:lastModifiedBy>
  <cp:revision>1</cp:revision>
  <cp:lastPrinted>2015-02-05T15:58:17.3852652Z</cp:lastPrinted>
  <dcterms:created xsi:type="dcterms:W3CDTF">2015-02-05T15:58:17.3852652Z</dcterms:created>
  <dcterms:modified xsi:type="dcterms:W3CDTF">2015-02-05T15:58:17.3852652Z</dcterms:modified>
</cp:coreProperties>
</file>