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3.7.0.0 -->
  <w:body>
    <w:p w:rsidR="00CE0D26">
      <w:pPr>
        <w:ind w:left="540" w:right="360"/>
        <w:jc w:val="center"/>
      </w:pPr>
      <w:bookmarkStart w:id="0" w:name="_GoBack"/>
      <w:bookmarkEnd w:id="0"/>
      <w:r>
        <w:rPr>
          <w:rFonts w:cs="Arial"/>
          <w:lang w:val="en-CA"/>
        </w:rPr>
        <w:fldChar w:fldCharType="begin"/>
      </w:r>
      <w:r>
        <w:rPr>
          <w:rFonts w:cs="Arial"/>
          <w:lang w:val="en-CA"/>
        </w:rPr>
        <w:instrText xml:space="preserve"> SEQ CHAPTER \h \r 1</w:instrText>
      </w:r>
      <w:r>
        <w:rPr>
          <w:rFonts w:cs="Arial"/>
          <w:lang w:val="en-CA"/>
        </w:rPr>
        <w:fldChar w:fldCharType="separate"/>
      </w:r>
      <w:r>
        <w:rPr>
          <w:rFonts w:cs="Arial"/>
          <w:lang w:val="en-CA"/>
        </w:rPr>
        <w:fldChar w:fldCharType="end"/>
      </w:r>
      <w:r>
        <w:t>IN THE DISTRICT COURT OF APPEAL OF THE STATE OF FLORIDA</w:t>
      </w:r>
    </w:p>
    <w:p w:rsidR="00CE0D26" w:rsidP="005D2FAD">
      <w:pPr>
        <w:tabs>
          <w:tab w:val="right" w:pos="8064"/>
        </w:tabs>
        <w:ind w:left="540" w:right="360"/>
        <w:jc w:val="center"/>
      </w:pPr>
      <w:r>
        <w:t>FIFTH DISTRICT</w:t>
      </w:r>
      <w:bookmarkStart w:id="1" w:name="Term"/>
      <w:bookmarkEnd w:id="1"/>
    </w:p>
    <w:p w:rsidR="00CE0D26"/>
    <w:p w:rsidR="00334FC9" w:rsidRPr="00334FC9" w:rsidP="00334FC9">
      <w:pPr>
        <w:ind w:right="-360"/>
      </w:pPr>
      <w:r>
        <w:t xml:space="preserve">                                                                             </w:t>
      </w:r>
    </w:p>
    <w:p w:rsidR="00334FC9" w:rsidRPr="00334FC9" w:rsidP="00334FC9">
      <w:pPr>
        <w:ind w:right="-360"/>
      </w:pPr>
      <w:r w:rsidRPr="00334FC9">
        <w:t xml:space="preserve">                                                                             </w:t>
      </w:r>
    </w:p>
    <w:p w:rsidR="00CE0D26" w:rsidP="00334FC9">
      <w:pPr>
        <w:ind w:right="-360"/>
      </w:pPr>
      <w:r w:rsidRPr="00334FC9">
        <w:t xml:space="preserve">                                                                             </w:t>
      </w:r>
    </w:p>
    <w:p w:rsidR="00CE0D26">
      <w:bookmarkStart w:id="2" w:name="Appellant"/>
      <w:r>
        <w:fldChar w:fldCharType="begin">
          <w:ffData>
            <w:name w:val="Appellant"/>
            <w:enabled/>
            <w:calcOnExit w:val="0"/>
            <w:textInput/>
          </w:ffData>
        </w:fldChar>
      </w:r>
      <w:r>
        <w:instrText xml:space="preserve"> FORMTEXT </w:instrText>
      </w:r>
      <w:r>
        <w:fldChar w:fldCharType="separate"/>
      </w:r>
      <w:r w:rsidR="006C4EE3">
        <w:t xml:space="preserve">CHARLES SCHWADES </w:t>
      </w:r>
      <w:r w:rsidR="00C012AA">
        <w:t>AND CATHY</w:t>
      </w:r>
      <w:r w:rsidR="006C4EE3">
        <w:t xml:space="preserve"> SCHWADES</w:t>
      </w:r>
      <w:r>
        <w:fldChar w:fldCharType="end"/>
      </w:r>
      <w:bookmarkEnd w:id="2"/>
      <w:r>
        <w:t>,</w:t>
      </w:r>
    </w:p>
    <w:p w:rsidR="00CE0D26"/>
    <w:p w:rsidR="00CE0D26">
      <w:r>
        <w:tab/>
      </w:r>
      <w:bookmarkStart w:id="3" w:name="Type_apl_pet"/>
      <w:r w:rsidR="00851404">
        <w:tab/>
      </w:r>
      <w:r w:rsidRPr="003B1541">
        <w:fldChar w:fldCharType="begin">
          <w:ffData>
            <w:name w:val="Type_apl_pet"/>
            <w:enabled/>
            <w:calcOnExit w:val="0"/>
            <w:textInput/>
          </w:ffData>
        </w:fldChar>
      </w:r>
      <w:r w:rsidRPr="003B1541">
        <w:instrText xml:space="preserve"> FORMTEXT </w:instrText>
      </w:r>
      <w:r w:rsidRPr="003B1541">
        <w:fldChar w:fldCharType="separate"/>
      </w:r>
      <w:r w:rsidR="006C4EE3">
        <w:t>Appellant</w:t>
      </w:r>
      <w:r w:rsidRPr="003B1541">
        <w:fldChar w:fldCharType="end"/>
      </w:r>
      <w:bookmarkEnd w:id="3"/>
      <w:r w:rsidR="00F343D7">
        <w:t>s</w:t>
      </w:r>
      <w:r>
        <w:t>,</w:t>
      </w:r>
    </w:p>
    <w:p w:rsidR="00CE0D26">
      <w:r>
        <w:t xml:space="preserve">                                                     </w:t>
      </w:r>
    </w:p>
    <w:tbl>
      <w:tblPr>
        <w:tblW w:w="0" w:type="auto"/>
        <w:tblCellMar>
          <w:left w:w="115" w:type="dxa"/>
          <w:right w:w="144" w:type="dxa"/>
        </w:tblCellMar>
        <w:tblLook w:val="01E0"/>
      </w:tblPr>
      <w:tblGrid>
        <w:gridCol w:w="5732"/>
        <w:gridCol w:w="3628"/>
      </w:tblGrid>
      <w:tr w:rsidTr="000F2C6A">
        <w:tblPrEx>
          <w:tblW w:w="0" w:type="auto"/>
          <w:tblCellMar>
            <w:left w:w="115" w:type="dxa"/>
            <w:right w:w="144" w:type="dxa"/>
          </w:tblCellMar>
          <w:tblLook w:val="01E0"/>
        </w:tblPrEx>
        <w:tc>
          <w:tcPr>
            <w:tcW w:w="5875" w:type="dxa"/>
          </w:tcPr>
          <w:p w:rsidR="00CE0D26" w:rsidP="00310BC3">
            <w:pPr>
              <w:autoSpaceDE w:val="0"/>
              <w:autoSpaceDN w:val="0"/>
              <w:adjustRightInd w:val="0"/>
            </w:pPr>
            <w:r>
              <w:t>v.</w:t>
            </w:r>
            <w:r w:rsidR="00C012AA">
              <w:t xml:space="preserve">                                          </w:t>
            </w:r>
          </w:p>
        </w:tc>
        <w:tc>
          <w:tcPr>
            <w:tcW w:w="3701" w:type="dxa"/>
          </w:tcPr>
          <w:p w:rsidR="00CE0D26" w:rsidP="000F2C6A">
            <w:pPr>
              <w:autoSpaceDE w:val="0"/>
              <w:autoSpaceDN w:val="0"/>
              <w:adjustRightInd w:val="0"/>
              <w:ind w:right="-360"/>
            </w:pPr>
            <w:r>
              <w:t>Case No.  5D</w:t>
            </w:r>
            <w:bookmarkStart w:id="4" w:name="Case_numb"/>
            <w:r>
              <w:fldChar w:fldCharType="begin">
                <w:ffData>
                  <w:name w:val="Case_numb"/>
                  <w:enabled/>
                  <w:calcOnExit w:val="0"/>
                  <w:textInput/>
                </w:ffData>
              </w:fldChar>
            </w:r>
            <w:r>
              <w:instrText xml:space="preserve"> FORMTEXT </w:instrText>
            </w:r>
            <w:r>
              <w:fldChar w:fldCharType="separate"/>
            </w:r>
            <w:r w:rsidR="006C4EE3">
              <w:t>13-3518</w:t>
            </w:r>
            <w:r>
              <w:fldChar w:fldCharType="end"/>
            </w:r>
            <w:bookmarkEnd w:id="4"/>
          </w:p>
        </w:tc>
      </w:tr>
    </w:tbl>
    <w:p w:rsidR="00CE0D26"/>
    <w:p w:rsidR="00CE0D26">
      <w:r>
        <w:fldChar w:fldCharType="begin">
          <w:ffData>
            <w:name w:val="Appellee"/>
            <w:enabled/>
            <w:calcOnExit w:val="0"/>
            <w:textInput/>
          </w:ffData>
        </w:fldChar>
      </w:r>
      <w:r>
        <w:instrText xml:space="preserve"> FORMTEXT </w:instrText>
      </w:r>
      <w:r>
        <w:fldChar w:fldCharType="separate"/>
      </w:r>
      <w:r w:rsidR="006C4EE3">
        <w:t xml:space="preserve">AMERICA'S </w:t>
      </w:r>
      <w:r w:rsidR="00C012AA">
        <w:t>WHOLESALE LENDER</w:t>
      </w:r>
      <w:r w:rsidR="006C4EE3">
        <w:t>, ET AL.</w:t>
      </w:r>
      <w:r>
        <w:fldChar w:fldCharType="end"/>
      </w:r>
      <w:r>
        <w:t>,</w:t>
      </w:r>
    </w:p>
    <w:p w:rsidR="00CE0D26"/>
    <w:p w:rsidR="00CE0D26">
      <w:r>
        <w:tab/>
      </w:r>
      <w:bookmarkStart w:id="5" w:name="Type_aplee_resp"/>
      <w:r w:rsidR="00851404">
        <w:tab/>
      </w:r>
      <w:r w:rsidRPr="003B1541">
        <w:fldChar w:fldCharType="begin">
          <w:ffData>
            <w:name w:val="Type_aplee_resp"/>
            <w:enabled/>
            <w:calcOnExit w:val="0"/>
            <w:textInput/>
          </w:ffData>
        </w:fldChar>
      </w:r>
      <w:r w:rsidRPr="003B1541">
        <w:instrText xml:space="preserve"> FORMTEXT </w:instrText>
      </w:r>
      <w:r w:rsidRPr="003B1541">
        <w:fldChar w:fldCharType="separate"/>
      </w:r>
      <w:r w:rsidR="006C4EE3">
        <w:t>Appellee</w:t>
      </w:r>
      <w:r w:rsidRPr="003B1541">
        <w:fldChar w:fldCharType="end"/>
      </w:r>
      <w:bookmarkEnd w:id="5"/>
      <w:r w:rsidR="00F343D7">
        <w:t>s</w:t>
      </w:r>
      <w:r>
        <w:t>.</w:t>
      </w:r>
    </w:p>
    <w:p w:rsidR="00CE0D26"/>
    <w:p w:rsidR="00CE0D26">
      <w:r>
        <w:t>________________________________/</w:t>
      </w:r>
    </w:p>
    <w:p w:rsidR="00CE0D26"/>
    <w:p w:rsidR="00CE0D26">
      <w:r>
        <w:t>Opinion filed</w:t>
      </w:r>
      <w:r w:rsidR="00763C8D">
        <w:t xml:space="preserve"> September 5, 2014</w:t>
      </w:r>
    </w:p>
    <w:p w:rsidR="00CE0D26"/>
    <w:tbl>
      <w:tblPr>
        <w:tblW w:w="0" w:type="auto"/>
        <w:tblCellMar>
          <w:left w:w="115" w:type="dxa"/>
          <w:right w:w="144" w:type="dxa"/>
        </w:tblCellMar>
        <w:tblLook w:val="01E0"/>
      </w:tblPr>
      <w:tblGrid>
        <w:gridCol w:w="3299"/>
        <w:gridCol w:w="1395"/>
        <w:gridCol w:w="4659"/>
        <w:gridCol w:w="7"/>
      </w:tblGrid>
      <w:tr w:rsidTr="000F2C6A">
        <w:tblPrEx>
          <w:tblW w:w="0" w:type="auto"/>
          <w:tblCellMar>
            <w:left w:w="115" w:type="dxa"/>
            <w:right w:w="144" w:type="dxa"/>
          </w:tblCellMar>
          <w:tblLook w:val="01E0"/>
        </w:tblPrEx>
        <w:trPr>
          <w:gridAfter w:val="1"/>
          <w:wAfter w:w="7" w:type="dxa"/>
        </w:trPr>
        <w:tc>
          <w:tcPr>
            <w:tcW w:w="3355" w:type="dxa"/>
          </w:tcPr>
          <w:p w:rsidR="00CE0D26" w:rsidP="000F2C6A">
            <w:pPr>
              <w:autoSpaceDE w:val="0"/>
              <w:autoSpaceDN w:val="0"/>
              <w:adjustRightInd w:val="0"/>
            </w:pPr>
            <w:bookmarkStart w:id="6" w:name="Case_type"/>
            <w:r>
              <w:fldChar w:fldCharType="begin">
                <w:ffData>
                  <w:name w:val="Case_type"/>
                  <w:enabled/>
                  <w:calcOnExit w:val="0"/>
                  <w:textInput/>
                </w:ffData>
              </w:fldChar>
            </w:r>
            <w:r>
              <w:instrText xml:space="preserve"> FORMTEXT </w:instrText>
            </w:r>
            <w:r>
              <w:fldChar w:fldCharType="separate"/>
            </w:r>
            <w:r w:rsidR="006C4EE3">
              <w:t>Appeal from the Circuit Court for Marion County</w:t>
            </w:r>
            <w:r>
              <w:fldChar w:fldCharType="end"/>
            </w:r>
            <w:bookmarkEnd w:id="6"/>
            <w:r>
              <w:t>,</w:t>
            </w:r>
          </w:p>
          <w:p w:rsidR="00CE0D26" w:rsidP="000F2C6A">
            <w:pPr>
              <w:autoSpaceDE w:val="0"/>
              <w:autoSpaceDN w:val="0"/>
              <w:adjustRightInd w:val="0"/>
              <w:ind w:right="-360"/>
            </w:pPr>
            <w:bookmarkStart w:id="7" w:name="Lower_tribunal_Judge"/>
            <w:r>
              <w:fldChar w:fldCharType="begin">
                <w:ffData>
                  <w:name w:val="Lower_tribunal_Judge"/>
                  <w:enabled/>
                  <w:calcOnExit w:val="0"/>
                  <w:textInput/>
                </w:ffData>
              </w:fldChar>
            </w:r>
            <w:r>
              <w:instrText xml:space="preserve"> FORMTEXT </w:instrText>
            </w:r>
            <w:r>
              <w:fldChar w:fldCharType="separate"/>
            </w:r>
            <w:r w:rsidR="006C4EE3">
              <w:t>Jack Singbush</w:t>
            </w:r>
            <w:r>
              <w:fldChar w:fldCharType="end"/>
            </w:r>
            <w:bookmarkEnd w:id="7"/>
            <w:r>
              <w:t>, Judge.</w:t>
            </w:r>
          </w:p>
          <w:p w:rsidR="00CE0D26" w:rsidP="000F2C6A">
            <w:pPr>
              <w:autoSpaceDE w:val="0"/>
              <w:autoSpaceDN w:val="0"/>
              <w:adjustRightInd w:val="0"/>
              <w:ind w:right="-360"/>
            </w:pPr>
          </w:p>
        </w:tc>
        <w:tc>
          <w:tcPr>
            <w:tcW w:w="6221" w:type="dxa"/>
            <w:gridSpan w:val="2"/>
          </w:tcPr>
          <w:p w:rsidR="00CE0D26" w:rsidP="000F2C6A">
            <w:pPr>
              <w:autoSpaceDE w:val="0"/>
              <w:autoSpaceDN w:val="0"/>
              <w:adjustRightInd w:val="0"/>
              <w:ind w:right="-360"/>
            </w:pPr>
          </w:p>
        </w:tc>
      </w:tr>
      <w:tr w:rsidTr="000F2C6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4788" w:type="dxa"/>
            <w:gridSpan w:val="2"/>
            <w:tcBorders>
              <w:top w:val="nil"/>
              <w:left w:val="nil"/>
              <w:bottom w:val="nil"/>
              <w:right w:val="nil"/>
            </w:tcBorders>
          </w:tcPr>
          <w:p w:rsidR="00CE0D26" w:rsidP="000F2C6A">
            <w:pPr>
              <w:autoSpaceDE w:val="0"/>
              <w:autoSpaceDN w:val="0"/>
              <w:adjustRightInd w:val="0"/>
            </w:pPr>
            <w:r>
              <w:fldChar w:fldCharType="begin">
                <w:ffData>
                  <w:name w:val="Appellant_Attorney"/>
                  <w:enabled/>
                  <w:calcOnExit w:val="0"/>
                  <w:textInput/>
                </w:ffData>
              </w:fldChar>
            </w:r>
            <w:r>
              <w:instrText xml:space="preserve"> FORMTEXT </w:instrText>
            </w:r>
            <w:r>
              <w:fldChar w:fldCharType="separate"/>
            </w:r>
            <w:r w:rsidR="006C4EE3">
              <w:t>Kelley A. Bosecker, St. Petersburg, for Appellant.</w:t>
            </w:r>
            <w:r>
              <w:fldChar w:fldCharType="end"/>
            </w:r>
          </w:p>
          <w:p w:rsidR="00CE0D26" w:rsidP="000F2C6A">
            <w:pPr>
              <w:autoSpaceDE w:val="0"/>
              <w:autoSpaceDN w:val="0"/>
              <w:adjustRightInd w:val="0"/>
            </w:pPr>
          </w:p>
        </w:tc>
        <w:tc>
          <w:tcPr>
            <w:tcW w:w="4788" w:type="dxa"/>
            <w:gridSpan w:val="2"/>
            <w:tcBorders>
              <w:top w:val="nil"/>
              <w:left w:val="nil"/>
              <w:bottom w:val="nil"/>
              <w:right w:val="nil"/>
            </w:tcBorders>
          </w:tcPr>
          <w:p w:rsidR="00CE0D26" w:rsidP="000F2C6A">
            <w:pPr>
              <w:autoSpaceDE w:val="0"/>
              <w:autoSpaceDN w:val="0"/>
              <w:adjustRightInd w:val="0"/>
            </w:pPr>
          </w:p>
        </w:tc>
      </w:tr>
      <w:tr w:rsidTr="000F2C6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4788" w:type="dxa"/>
            <w:gridSpan w:val="2"/>
            <w:tcBorders>
              <w:top w:val="nil"/>
              <w:left w:val="nil"/>
              <w:bottom w:val="nil"/>
              <w:right w:val="nil"/>
            </w:tcBorders>
          </w:tcPr>
          <w:p w:rsidR="00CE0D26" w:rsidP="000F2C6A">
            <w:pPr>
              <w:autoSpaceDE w:val="0"/>
              <w:autoSpaceDN w:val="0"/>
              <w:adjustRightInd w:val="0"/>
            </w:pPr>
            <w:r>
              <w:fldChar w:fldCharType="begin">
                <w:ffData>
                  <w:name w:val="Appellee_Attorney"/>
                  <w:enabled/>
                  <w:calcOnExit w:val="0"/>
                  <w:textInput/>
                </w:ffData>
              </w:fldChar>
            </w:r>
            <w:r>
              <w:instrText xml:space="preserve"> FORMTEXT </w:instrText>
            </w:r>
            <w:r>
              <w:fldChar w:fldCharType="separate"/>
            </w:r>
            <w:r w:rsidR="006C4EE3">
              <w:t>Allison Morat</w:t>
            </w:r>
            <w:r w:rsidR="00B0717D">
              <w:t xml:space="preserve"> and Ronnie J. Bitman</w:t>
            </w:r>
            <w:r w:rsidR="006C4EE3">
              <w:t>, of Pearson Bitman LLP, Maitland, for Appellee.</w:t>
            </w:r>
            <w:r>
              <w:fldChar w:fldCharType="end"/>
            </w:r>
          </w:p>
          <w:p w:rsidR="00F254A0" w:rsidP="000F2C6A">
            <w:pPr>
              <w:autoSpaceDE w:val="0"/>
              <w:autoSpaceDN w:val="0"/>
              <w:adjustRightInd w:val="0"/>
            </w:pPr>
          </w:p>
          <w:p w:rsidR="00F254A0" w:rsidP="000F2C6A">
            <w:pPr>
              <w:autoSpaceDE w:val="0"/>
              <w:autoSpaceDN w:val="0"/>
              <w:adjustRightInd w:val="0"/>
            </w:pPr>
            <w:r>
              <w:t>K. Denise Haire, of Blank Rome, LLP, Boca Raton, for Appellee.</w:t>
            </w:r>
          </w:p>
          <w:p w:rsidR="00CE0D26" w:rsidP="000F2C6A">
            <w:pPr>
              <w:autoSpaceDE w:val="0"/>
              <w:autoSpaceDN w:val="0"/>
              <w:adjustRightInd w:val="0"/>
            </w:pPr>
          </w:p>
        </w:tc>
        <w:tc>
          <w:tcPr>
            <w:tcW w:w="4788" w:type="dxa"/>
            <w:gridSpan w:val="2"/>
            <w:tcBorders>
              <w:top w:val="nil"/>
              <w:left w:val="nil"/>
              <w:bottom w:val="nil"/>
              <w:right w:val="nil"/>
            </w:tcBorders>
          </w:tcPr>
          <w:p w:rsidR="00CE0D26" w:rsidP="000F2C6A">
            <w:pPr>
              <w:autoSpaceDE w:val="0"/>
              <w:autoSpaceDN w:val="0"/>
              <w:adjustRightInd w:val="0"/>
            </w:pPr>
          </w:p>
        </w:tc>
      </w:tr>
    </w:tbl>
    <w:p w:rsidR="00FE0A8A" w:rsidP="00FE0A8A">
      <w:pPr>
        <w:pStyle w:val="5DCABodyText"/>
        <w:ind w:firstLine="0"/>
      </w:pPr>
      <w:r>
        <w:t>PER CURIAM.</w:t>
      </w:r>
    </w:p>
    <w:p w:rsidR="00E711E9" w:rsidRPr="00BB5F24" w:rsidP="00FE0A8A">
      <w:pPr>
        <w:pStyle w:val="5DCABodyText"/>
        <w:ind w:firstLine="0"/>
      </w:pPr>
      <w:r>
        <w:tab/>
      </w:r>
      <w:r w:rsidR="00F84879">
        <w:t xml:space="preserve"> Charles and Cathy Sch</w:t>
      </w:r>
      <w:r>
        <w:t>wades</w:t>
      </w:r>
      <w:r w:rsidR="00F84879">
        <w:t xml:space="preserve"> voluntarily dismissed this appeal; h</w:t>
      </w:r>
      <w:r w:rsidRPr="00BB5F24" w:rsidR="00126B58">
        <w:t xml:space="preserve">owever, </w:t>
      </w:r>
      <w:r w:rsidR="00F84879">
        <w:t>we order that this case be</w:t>
      </w:r>
      <w:r w:rsidRPr="00BB5F24">
        <w:t xml:space="preserve"> remanded to the trial court </w:t>
      </w:r>
      <w:r w:rsidRPr="00BB5F24" w:rsidR="00126B58">
        <w:t xml:space="preserve">because </w:t>
      </w:r>
      <w:r w:rsidR="00F84879">
        <w:t xml:space="preserve">we conclude </w:t>
      </w:r>
      <w:r w:rsidR="00983E3D">
        <w:t xml:space="preserve">that </w:t>
      </w:r>
      <w:r w:rsidR="00C60516">
        <w:t>a sanction</w:t>
      </w:r>
      <w:r w:rsidRPr="00BB5F24" w:rsidR="00126B58">
        <w:t xml:space="preserve"> in the form of the imposition of </w:t>
      </w:r>
      <w:r w:rsidRPr="00BB5F24">
        <w:t xml:space="preserve">appellate </w:t>
      </w:r>
      <w:r w:rsidRPr="00BB5F24" w:rsidR="00126B58">
        <w:t xml:space="preserve">attorney's fees is </w:t>
      </w:r>
      <w:r w:rsidR="00F84879">
        <w:t>warranted</w:t>
      </w:r>
      <w:r w:rsidRPr="00BB5F24">
        <w:t>.</w:t>
      </w:r>
      <w:r>
        <w:rPr>
          <w:rStyle w:val="FootnoteReference"/>
        </w:rPr>
        <w:footnoteReference w:id="2"/>
      </w:r>
    </w:p>
    <w:p w:rsidR="00DC2123" w:rsidP="00983E3D">
      <w:pPr>
        <w:pStyle w:val="5DCABodyText"/>
      </w:pPr>
      <w:r w:rsidRPr="00BB5F24">
        <w:t xml:space="preserve"> </w:t>
      </w:r>
      <w:r w:rsidR="001E3CD9">
        <w:t>In this case, t</w:t>
      </w:r>
      <w:r w:rsidR="00787225">
        <w:t>he appellant</w:t>
      </w:r>
      <w:r w:rsidR="00025E3F">
        <w:t>s</w:t>
      </w:r>
      <w:r w:rsidR="00787225">
        <w:t xml:space="preserve"> argued that the trial court erred in dismissing their quiet title action. The basis of the action (i.e., that the </w:t>
      </w:r>
      <w:r w:rsidR="00C955D0">
        <w:t xml:space="preserve">appellee </w:t>
      </w:r>
      <w:r w:rsidR="00787225">
        <w:t>banks waived all rights secured by the note and mortgage by failing to respond</w:t>
      </w:r>
      <w:r w:rsidR="00C955D0">
        <w:t xml:space="preserve"> to the</w:t>
      </w:r>
      <w:r w:rsidR="003A5AC2">
        <w:t xml:space="preserve"> Appellant's</w:t>
      </w:r>
      <w:r w:rsidR="00C955D0">
        <w:t xml:space="preserve"> demand that they</w:t>
      </w:r>
      <w:r w:rsidR="00787225">
        <w:t xml:space="preserve"> prove the debt), was essentially the same as that in </w:t>
      </w:r>
      <w:r w:rsidR="00787225">
        <w:rPr>
          <w:u w:val="single"/>
        </w:rPr>
        <w:t>Ba</w:t>
      </w:r>
      <w:r w:rsidR="00C955D0">
        <w:rPr>
          <w:u w:val="single"/>
        </w:rPr>
        <w:t>d</w:t>
      </w:r>
      <w:r w:rsidR="00FE0A8A">
        <w:rPr>
          <w:u w:val="single"/>
        </w:rPr>
        <w:t>gley v. SunBank Mortg.</w:t>
      </w:r>
      <w:r w:rsidR="00787225">
        <w:rPr>
          <w:u w:val="single"/>
        </w:rPr>
        <w:t xml:space="preserve"> Inc.</w:t>
      </w:r>
      <w:r w:rsidR="00787225">
        <w:t xml:space="preserve">, 134 So. 3d 559 (Fla. 5th DCA 2014); </w:t>
      </w:r>
      <w:r w:rsidR="00787225">
        <w:rPr>
          <w:u w:val="single"/>
        </w:rPr>
        <w:t>Ba</w:t>
      </w:r>
      <w:r w:rsidR="00C955D0">
        <w:rPr>
          <w:u w:val="single"/>
        </w:rPr>
        <w:t>d</w:t>
      </w:r>
      <w:r w:rsidR="00787225">
        <w:rPr>
          <w:u w:val="single"/>
        </w:rPr>
        <w:t>gley</w:t>
      </w:r>
      <w:r w:rsidR="00787225">
        <w:t xml:space="preserve"> involved the same appellate attorney as here, Kelley Bosecker. In </w:t>
      </w:r>
      <w:r w:rsidR="00787225">
        <w:rPr>
          <w:u w:val="single"/>
        </w:rPr>
        <w:t>Ba</w:t>
      </w:r>
      <w:r w:rsidR="00C955D0">
        <w:rPr>
          <w:u w:val="single"/>
        </w:rPr>
        <w:t>d</w:t>
      </w:r>
      <w:r w:rsidR="00787225">
        <w:rPr>
          <w:u w:val="single"/>
        </w:rPr>
        <w:t>gley</w:t>
      </w:r>
      <w:r w:rsidR="00787225">
        <w:t xml:space="preserve">, we affirmed the trial court's dismissal order and ordered the appellant and Bosecker to pay SunBank </w:t>
      </w:r>
      <w:r w:rsidR="00787225">
        <w:rPr>
          <w:rFonts w:cs="Arial"/>
        </w:rPr>
        <w:t>section</w:t>
      </w:r>
      <w:r w:rsidR="00787225">
        <w:t xml:space="preserve"> 57.105(1)</w:t>
      </w:r>
      <w:r w:rsidR="00FE0A8A">
        <w:t>, Florida Statutes,</w:t>
      </w:r>
      <w:r w:rsidR="00787225">
        <w:t xml:space="preserve"> attorney's fees based upon the frivolous nature</w:t>
      </w:r>
      <w:r w:rsidR="00025E3F">
        <w:t xml:space="preserve"> of the appeal. </w:t>
      </w:r>
      <w:r>
        <w:t>We conclude that the instant appeal is similarly frivolous.</w:t>
      </w:r>
    </w:p>
    <w:p w:rsidR="00787225" w:rsidP="00787225">
      <w:pPr>
        <w:pStyle w:val="5DCABodyText"/>
      </w:pPr>
      <w:r>
        <w:t>The appellants</w:t>
      </w:r>
      <w:r>
        <w:t xml:space="preserve"> further </w:t>
      </w:r>
      <w:r w:rsidR="001E3CD9">
        <w:t>argued</w:t>
      </w:r>
      <w:r>
        <w:t xml:space="preserve"> that the trial court </w:t>
      </w:r>
      <w:r w:rsidR="001E3CD9">
        <w:t>reversibly erred</w:t>
      </w:r>
      <w:r>
        <w:t xml:space="preserve"> in not permitting them an opportunity to amend their complaint; however</w:t>
      </w:r>
      <w:r w:rsidR="001E3CD9">
        <w:t>,</w:t>
      </w:r>
      <w:r>
        <w:t xml:space="preserve"> the record establishes that they never requested leave to amend (in spite of assertions to the contrary made by Bosecker during oral argument). In addition, as to America's Wholesale Lender (Lender),</w:t>
      </w:r>
      <w:r w:rsidRPr="00DA6D08">
        <w:t xml:space="preserve"> </w:t>
      </w:r>
      <w:r w:rsidR="00DC2123">
        <w:t>t</w:t>
      </w:r>
      <w:r w:rsidR="00025E3F">
        <w:t>he appellants</w:t>
      </w:r>
      <w:r>
        <w:t xml:space="preserve"> asserted claims for appellate relief against Lender, notwithstanding the fact that the record demonstrates that Bosecker advised the trial court that she was willing to voluntarily dismiss the claims against Lender with prejudice. During oral argument, Bosecker initially denied that she had agreed to dismiss the claims related to the Lender, although she ultimately conceded to the contrary.  She also stated that, if successful on appeal, she would voluntarily dismiss the claims against Lender.  </w:t>
      </w:r>
    </w:p>
    <w:p w:rsidR="00126B58" w:rsidP="00BB5F24">
      <w:pPr>
        <w:pStyle w:val="5DCABodyText"/>
      </w:pPr>
      <w:r>
        <w:t>T</w:t>
      </w:r>
      <w:r w:rsidR="00F84879">
        <w:t>he appellants' a</w:t>
      </w:r>
      <w:r w:rsidRPr="00BB5F24">
        <w:t>ttorney</w:t>
      </w:r>
      <w:r w:rsidR="00F84879">
        <w:t>, Kelley</w:t>
      </w:r>
      <w:r w:rsidRPr="00BB5F24">
        <w:t xml:space="preserve"> Bosecker</w:t>
      </w:r>
      <w:r w:rsidR="00F84879">
        <w:t>,</w:t>
      </w:r>
      <w:r w:rsidRPr="00BB5F24">
        <w:t xml:space="preserve"> knew or should have known, since the filing of </w:t>
      </w:r>
      <w:r w:rsidR="00F84879">
        <w:t>her initial brief</w:t>
      </w:r>
      <w:r w:rsidRPr="00BB5F24">
        <w:t xml:space="preserve">, that the claims asserted therein were not supported by the material facts of record. As such, counsel acted in bad faith in this matter. Therefore, we </w:t>
      </w:r>
      <w:r w:rsidRPr="00C41337">
        <w:rPr>
          <w:u w:val="single"/>
        </w:rPr>
        <w:t>sua</w:t>
      </w:r>
      <w:r w:rsidRPr="00BB5F24">
        <w:t xml:space="preserve"> </w:t>
      </w:r>
      <w:r w:rsidRPr="00C41337">
        <w:rPr>
          <w:u w:val="single"/>
        </w:rPr>
        <w:t>sponte</w:t>
      </w:r>
      <w:r w:rsidRPr="00BB5F24">
        <w:t xml:space="preserve"> award </w:t>
      </w:r>
      <w:r w:rsidR="00F84879">
        <w:t>the appellees attorney's fees for</w:t>
      </w:r>
      <w:r w:rsidRPr="00BB5F24">
        <w:t xml:space="preserve"> this appeal.</w:t>
      </w:r>
      <w:r w:rsidR="00F84879">
        <w:t xml:space="preserve"> </w:t>
      </w:r>
      <w:r w:rsidR="00F84879">
        <w:rPr>
          <w:u w:val="single"/>
        </w:rPr>
        <w:t>See</w:t>
      </w:r>
      <w:r w:rsidR="00F84879">
        <w:t xml:space="preserve"> </w:t>
      </w:r>
      <w:r w:rsidR="00F84879">
        <w:rPr>
          <w:u w:val="single"/>
        </w:rPr>
        <w:t>Badgley</w:t>
      </w:r>
      <w:r w:rsidRPr="004032DB" w:rsidR="00F84879">
        <w:t>,</w:t>
      </w:r>
      <w:r w:rsidR="00F84879">
        <w:t xml:space="preserve"> 134 So. 3</w:t>
      </w:r>
      <w:r w:rsidR="004B5313">
        <w:t xml:space="preserve">d </w:t>
      </w:r>
      <w:r w:rsidR="00C955D0">
        <w:t>at</w:t>
      </w:r>
      <w:r w:rsidR="004B5313">
        <w:t xml:space="preserve"> 560</w:t>
      </w:r>
      <w:r w:rsidR="00C955D0">
        <w:t>;</w:t>
      </w:r>
      <w:r w:rsidR="004B5313">
        <w:t xml:space="preserve"> </w:t>
      </w:r>
      <w:r w:rsidRPr="00C41337">
        <w:rPr>
          <w:u w:val="single"/>
        </w:rPr>
        <w:t>Sa</w:t>
      </w:r>
      <w:r w:rsidR="00FE0A8A">
        <w:rPr>
          <w:u w:val="single"/>
        </w:rPr>
        <w:t>ntini v. Cleveland Clinic Fl</w:t>
      </w:r>
      <w:r w:rsidRPr="00C41337">
        <w:rPr>
          <w:u w:val="single"/>
        </w:rPr>
        <w:t>a</w:t>
      </w:r>
      <w:r w:rsidRPr="00BB5F24">
        <w:t xml:space="preserve">, 65 So. 3d 22, 41 (Fla. 4th DCA 2011). Accordingly, </w:t>
      </w:r>
      <w:r w:rsidR="00025E3F">
        <w:t xml:space="preserve">we order the appellants and Attorney Bosecker to each pay one-half of the reasonable attorney's fees and costs incurred by the </w:t>
      </w:r>
      <w:r w:rsidR="001E3CD9">
        <w:t>appellees</w:t>
      </w:r>
      <w:r w:rsidR="00025E3F">
        <w:t xml:space="preserve"> in this appeal</w:t>
      </w:r>
      <w:r w:rsidR="00FE0A8A">
        <w:t>,</w:t>
      </w:r>
      <w:r w:rsidR="00025E3F">
        <w:t xml:space="preserve"> and</w:t>
      </w:r>
      <w:r w:rsidRPr="00BB5F24">
        <w:t xml:space="preserve"> remand this case to the trial court </w:t>
      </w:r>
      <w:r w:rsidRPr="00BB5F24" w:rsidR="00E711E9">
        <w:t>for the purpose of</w:t>
      </w:r>
      <w:r w:rsidRPr="00BB5F24">
        <w:t xml:space="preserve"> properly assess</w:t>
      </w:r>
      <w:r w:rsidRPr="00BB5F24" w:rsidR="00E711E9">
        <w:t>ing</w:t>
      </w:r>
      <w:r w:rsidRPr="00BB5F24">
        <w:t xml:space="preserve"> the </w:t>
      </w:r>
      <w:r w:rsidR="001E3CD9">
        <w:t>amount of such fees.</w:t>
      </w:r>
    </w:p>
    <w:p w:rsidR="00F8506E" w:rsidRPr="00F8506E" w:rsidP="00F8506E">
      <w:pPr>
        <w:pStyle w:val="5DCABodyText"/>
        <w:rPr>
          <w:rFonts w:ascii="Calibri" w:hAnsi="Calibri"/>
          <w:sz w:val="22"/>
          <w:szCs w:val="22"/>
        </w:rPr>
      </w:pPr>
      <w:r>
        <w:t xml:space="preserve">Lastly, the filing of frivolous </w:t>
      </w:r>
      <w:r w:rsidR="001B0663">
        <w:t>claims</w:t>
      </w:r>
      <w:r>
        <w:t xml:space="preserve"> by Attorney Bosecker </w:t>
      </w:r>
      <w:r w:rsidR="001B0663">
        <w:t>is</w:t>
      </w:r>
      <w:r>
        <w:t xml:space="preserve"> not an isolated incident in our court, but rather, similar </w:t>
      </w:r>
      <w:r w:rsidR="00141035">
        <w:t>claims</w:t>
      </w:r>
      <w:r>
        <w:t xml:space="preserve"> have been </w:t>
      </w:r>
      <w:r w:rsidR="00141035">
        <w:t>raised</w:t>
      </w:r>
      <w:r>
        <w:t xml:space="preserve"> in the federal courts. Under </w:t>
      </w:r>
      <w:r w:rsidR="00141035">
        <w:t>such</w:t>
      </w:r>
      <w:r>
        <w:t xml:space="preserve"> circumstances, several federal courts have subjected Bosecker to sanctions.</w:t>
      </w:r>
      <w:r w:rsidRPr="00141035">
        <w:t xml:space="preserve"> </w:t>
      </w:r>
      <w:r w:rsidRPr="00F8506E">
        <w:rPr>
          <w:u w:val="single"/>
        </w:rPr>
        <w:t>See</w:t>
      </w:r>
      <w:r>
        <w:t xml:space="preserve"> </w:t>
      </w:r>
      <w:r w:rsidRPr="00141035">
        <w:rPr>
          <w:u w:val="single"/>
        </w:rPr>
        <w:t>Fitzgerald v. Regions Bank</w:t>
      </w:r>
      <w:r w:rsidRPr="004032DB">
        <w:t>,</w:t>
      </w:r>
      <w:r>
        <w:t xml:space="preserve"> 5:13-CV-36-OC-10PRL, 2014 WL 129066 (M.D. Fla. Jan. 14, 2014); </w:t>
      </w:r>
      <w:r w:rsidRPr="00141035">
        <w:rPr>
          <w:u w:val="single"/>
        </w:rPr>
        <w:t>Calderon v. Merch. &amp; S. Bank</w:t>
      </w:r>
      <w:r w:rsidRPr="004032DB">
        <w:t>,</w:t>
      </w:r>
      <w:r>
        <w:t xml:space="preserve"> 5:13-CV-85-OC-22PRL, 2013 WL 5798565 (M.D. Fla. Oct. 28, 2013); </w:t>
      </w:r>
      <w:r w:rsidRPr="00141035">
        <w:rPr>
          <w:u w:val="single"/>
        </w:rPr>
        <w:t>Huff v. Regions Bank</w:t>
      </w:r>
      <w:r w:rsidRPr="004032DB">
        <w:t>,</w:t>
      </w:r>
      <w:r>
        <w:t xml:space="preserve"> No. 5:13-CV-63-OC-22, 2013 WL 5651807 (M.D. Fla. Oct. 15, 2013); </w:t>
      </w:r>
      <w:r w:rsidRPr="00141035">
        <w:rPr>
          <w:u w:val="single"/>
        </w:rPr>
        <w:t>Barrios v. Regions Bank</w:t>
      </w:r>
      <w:r w:rsidRPr="003A5AC2">
        <w:t>,</w:t>
      </w:r>
      <w:r>
        <w:t xml:space="preserve"> No. 5:13-CV-29-OC-22PRL, 2013 WL 5230653 (M.D. Fla. Sept. 16, 2013); </w:t>
      </w:r>
      <w:r w:rsidRPr="00141035">
        <w:rPr>
          <w:u w:val="single"/>
        </w:rPr>
        <w:t>Gonzalez v. GMAC Mortg.</w:t>
      </w:r>
      <w:r w:rsidRPr="004032DB">
        <w:t>,</w:t>
      </w:r>
      <w:r>
        <w:t xml:space="preserve"> No. 5:13-CV-72-OC-22PRL, 2013 WL 4767872 (M.D. Fla. Aug. 23, 2013). Accordingly, we direct the Clerk of this Court to forward this opinion to the Florida Bar for its examination of the conduct of </w:t>
      </w:r>
      <w:r w:rsidR="00141035">
        <w:t>Attorney Bosecker</w:t>
      </w:r>
      <w:r>
        <w:t>.</w:t>
      </w:r>
    </w:p>
    <w:p w:rsidR="00F8506E" w:rsidRPr="00BB5F24" w:rsidP="00BB5F24">
      <w:pPr>
        <w:pStyle w:val="5DCABodyText"/>
      </w:pPr>
    </w:p>
    <w:p w:rsidR="00CE0D26" w:rsidRPr="00BB5F24" w:rsidP="00BB5F24">
      <w:pPr>
        <w:pStyle w:val="5DCABodyText"/>
      </w:pPr>
      <w:r w:rsidRPr="00BB5F24">
        <w:t>REMANDED</w:t>
      </w:r>
      <w:r w:rsidRPr="00BB5F24" w:rsidR="00126B58">
        <w:t>.</w:t>
      </w:r>
    </w:p>
    <w:p w:rsidR="00CE0D26"/>
    <w:p w:rsidR="00CE0D26" w:rsidRPr="003B1541">
      <w:bookmarkStart w:id="8" w:name="SeniorJudge"/>
      <w:r>
        <w:t xml:space="preserve">PALMER, </w:t>
      </w:r>
      <w:r>
        <w:fldChar w:fldCharType="begin">
          <w:ffData>
            <w:name w:val="SeniorJudge"/>
            <w:enabled/>
            <w:calcOnExit w:val="0"/>
            <w:textInput/>
          </w:ffData>
        </w:fldChar>
      </w:r>
      <w:r>
        <w:instrText xml:space="preserve"> FORMTEXT </w:instrText>
      </w:r>
      <w:r>
        <w:fldChar w:fldCharType="separate"/>
      </w:r>
      <w:r w:rsidR="006C4EE3">
        <w:t>EVANDER</w:t>
      </w:r>
      <w:r>
        <w:fldChar w:fldCharType="end"/>
      </w:r>
      <w:bookmarkEnd w:id="8"/>
      <w:r>
        <w:t xml:space="preserve"> and </w:t>
      </w:r>
      <w:bookmarkStart w:id="9" w:name="JuniorJudge"/>
      <w:r>
        <w:fldChar w:fldCharType="begin">
          <w:ffData>
            <w:name w:val="JuniorJudge"/>
            <w:enabled/>
            <w:calcOnExit w:val="0"/>
            <w:textInput/>
          </w:ffData>
        </w:fldChar>
      </w:r>
      <w:r>
        <w:instrText xml:space="preserve"> FORMTEXT </w:instrText>
      </w:r>
      <w:r>
        <w:fldChar w:fldCharType="separate"/>
      </w:r>
      <w:r w:rsidR="006C4EE3">
        <w:t>WALLIS</w:t>
      </w:r>
      <w:r>
        <w:fldChar w:fldCharType="end"/>
      </w:r>
      <w:bookmarkEnd w:id="9"/>
      <w:r>
        <w:t>, JJ., concur.</w:t>
      </w:r>
    </w:p>
    <w:sectPr>
      <w:headerReference w:type="even" r:id="rId5"/>
      <w:headerReference w:type="default" r:id="rId6"/>
      <w:footerReference w:type="even" r:id="rId7"/>
      <w:footerReference w:type="default" r:id="rId8"/>
      <w:headerReference w:type="first" r:id="rId9"/>
      <w:footerReference w:type="first" r:id="rId10"/>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0D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E0D2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0D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51404">
      <w:rPr>
        <w:rStyle w:val="PageNumber"/>
        <w:noProof/>
      </w:rPr>
      <w:t>2</w:t>
    </w:r>
    <w:r>
      <w:rPr>
        <w:rStyle w:val="PageNumber"/>
      </w:rPr>
      <w:fldChar w:fldCharType="end"/>
    </w:r>
  </w:p>
  <w:p w:rsidR="00CE0D26">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0D2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6C4EE3">
      <w:r>
        <w:separator/>
      </w:r>
    </w:p>
  </w:footnote>
  <w:footnote w:type="continuationSeparator" w:id="1">
    <w:p w:rsidR="006C4EE3">
      <w:r>
        <w:continuationSeparator/>
      </w:r>
    </w:p>
  </w:footnote>
  <w:footnote w:id="2">
    <w:p w:rsidR="001E3CD9" w:rsidRPr="001E3CD9">
      <w:pPr>
        <w:pStyle w:val="FootnoteText"/>
      </w:pPr>
      <w:r>
        <w:rPr>
          <w:rStyle w:val="FootnoteReference"/>
        </w:rPr>
        <w:footnoteRef/>
      </w:r>
      <w:r>
        <w:t xml:space="preserve"> </w:t>
      </w:r>
      <w:r>
        <w:rPr>
          <w:u w:val="single"/>
        </w:rPr>
        <w:t>See</w:t>
      </w:r>
      <w:r>
        <w:t xml:space="preserve"> </w:t>
      </w:r>
      <w:r>
        <w:rPr>
          <w:rFonts w:cs="Arial"/>
        </w:rPr>
        <w:t>§</w:t>
      </w:r>
      <w:r w:rsidR="00C60516">
        <w:rPr>
          <w:rFonts w:cs="Arial"/>
        </w:rPr>
        <w:t xml:space="preserve"> </w:t>
      </w:r>
      <w:r>
        <w:t>57.105(1), Fla. Stat. (2011).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B7F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B7F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B7F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2A1551D"/>
    <w:multiLevelType w:val="hybridMultilevel"/>
    <w:tmpl w:val="F8D6EA54"/>
    <w:lvl w:ilvl="0">
      <w:start w:val="5"/>
      <w:numFmt w:val="lowerRoman"/>
      <w:lvlText w:val="%1."/>
      <w:lvlJc w:val="left"/>
      <w:pPr>
        <w:tabs>
          <w:tab w:val="num" w:pos="6120"/>
        </w:tabs>
        <w:ind w:left="6120" w:hanging="57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0D26"/>
    <w:rPr>
      <w:rFonts w:ascii="Arial" w:hAnsi="Arial"/>
      <w:sz w:val="24"/>
      <w:szCs w:val="24"/>
    </w:rPr>
  </w:style>
  <w:style w:type="paragraph" w:styleId="Heading1">
    <w:name w:val="heading 1"/>
    <w:basedOn w:val="Normal"/>
    <w:next w:val="Normal"/>
    <w:rsid w:val="00CE0D26"/>
    <w:pPr>
      <w:keepNext/>
      <w:spacing w:before="240" w:after="60"/>
      <w:outlineLvl w:val="0"/>
    </w:pPr>
    <w:rPr>
      <w:rFonts w:cs="Arial"/>
      <w:b/>
      <w:bCs/>
      <w:kern w:val="32"/>
      <w:sz w:val="32"/>
      <w:szCs w:val="32"/>
    </w:rPr>
  </w:style>
  <w:style w:type="paragraph" w:styleId="Heading2">
    <w:name w:val="heading 2"/>
    <w:basedOn w:val="Normal"/>
    <w:next w:val="Normal"/>
    <w:rsid w:val="00CE0D26"/>
    <w:pPr>
      <w:keepNext/>
      <w:spacing w:before="240" w:after="60"/>
      <w:outlineLvl w:val="1"/>
    </w:pPr>
    <w:rPr>
      <w:rFonts w:cs="Arial"/>
      <w:b/>
      <w:bCs/>
      <w:i/>
      <w:iCs/>
      <w:sz w:val="28"/>
      <w:szCs w:val="28"/>
    </w:rPr>
  </w:style>
  <w:style w:type="paragraph" w:styleId="Heading3">
    <w:name w:val="heading 3"/>
    <w:basedOn w:val="Normal"/>
    <w:next w:val="Normal"/>
    <w:rsid w:val="00CE0D26"/>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DCABodyText">
    <w:name w:val="5DCA Body Text"/>
    <w:basedOn w:val="Normal"/>
    <w:qFormat/>
    <w:rsid w:val="00B33340"/>
    <w:pPr>
      <w:spacing w:line="480" w:lineRule="auto"/>
      <w:ind w:firstLine="720"/>
      <w:jc w:val="both"/>
    </w:pPr>
  </w:style>
  <w:style w:type="paragraph" w:customStyle="1" w:styleId="CenterandBold">
    <w:name w:val="Center and Bold"/>
    <w:basedOn w:val="Normal"/>
    <w:next w:val="Normal"/>
    <w:pPr>
      <w:jc w:val="center"/>
    </w:pPr>
    <w:rPr>
      <w:rFonts w:cs="Arial"/>
      <w:b/>
    </w:rPr>
  </w:style>
  <w:style w:type="paragraph" w:customStyle="1" w:styleId="DoubleSpace">
    <w:name w:val="Double Space"/>
    <w:basedOn w:val="Normal"/>
    <w:next w:val="5DCABodyText"/>
    <w:qFormat/>
    <w:pPr>
      <w:spacing w:line="480" w:lineRule="auto"/>
      <w:jc w:val="both"/>
    </w:pPr>
  </w:style>
  <w:style w:type="paragraph" w:styleId="FootnoteText">
    <w:name w:val="footnote text"/>
    <w:basedOn w:val="Normal"/>
    <w:semiHidden/>
    <w:pPr>
      <w:ind w:firstLine="720"/>
      <w:jc w:val="both"/>
    </w:pPr>
    <w:rPr>
      <w:szCs w:val="20"/>
    </w:rPr>
  </w:style>
  <w:style w:type="paragraph" w:customStyle="1" w:styleId="Issues">
    <w:name w:val="Issues"/>
    <w:basedOn w:val="Normal"/>
    <w:pPr>
      <w:ind w:left="2160" w:right="1440" w:hanging="720"/>
      <w:jc w:val="both"/>
    </w:pPr>
  </w:style>
  <w:style w:type="paragraph" w:styleId="Quote">
    <w:name w:val="Quote"/>
    <w:basedOn w:val="Normal"/>
    <w:qFormat/>
    <w:rsid w:val="00CE0D26"/>
    <w:pPr>
      <w:ind w:left="1440" w:right="1440"/>
      <w:jc w:val="both"/>
    </w:pPr>
  </w:style>
  <w:style w:type="paragraph" w:customStyle="1" w:styleId="UnderlineCenterBold">
    <w:name w:val="Underline Center &amp; Bold"/>
    <w:basedOn w:val="Normal"/>
    <w:next w:val="Normal"/>
    <w:pPr>
      <w:jc w:val="center"/>
    </w:pPr>
    <w:rPr>
      <w:rFonts w:cs="Arial"/>
      <w:b/>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5F4F31"/>
    <w:rPr>
      <w:rFonts w:ascii="Segoe UI" w:hAnsi="Segoe UI" w:cs="Segoe UI"/>
      <w:sz w:val="18"/>
      <w:szCs w:val="18"/>
    </w:rPr>
  </w:style>
  <w:style w:type="character" w:customStyle="1" w:styleId="BalloonTextChar">
    <w:name w:val="Balloon Text Char"/>
    <w:basedOn w:val="DefaultParagraphFont"/>
    <w:link w:val="BalloonText"/>
    <w:rsid w:val="005F4F31"/>
    <w:rPr>
      <w:rFonts w:ascii="Segoe UI" w:hAnsi="Segoe UI" w:cs="Segoe UI"/>
      <w:sz w:val="18"/>
      <w:szCs w:val="18"/>
    </w:rPr>
  </w:style>
  <w:style w:type="character" w:styleId="FootnoteReference">
    <w:name w:val="footnote reference"/>
    <w:basedOn w:val="DefaultParagraphFont"/>
    <w:rsid w:val="00310B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94579CB6.dotm</Template>
  <TotalTime>0</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 THE DISTRICT COURT OF APPEAL OF THE STATE OF  FLORIDA</vt:lpstr>
    </vt:vector>
  </TitlesOfParts>
  <Company/>
  <LinksUpToDate>false</LinksUpToDate>
  <CharactersWithSpaces>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2014-09-04T13:33:06Z</dcterms:created>
  <dcterms:modified xsi:type="dcterms:W3CDTF">2014-09-04T13:33:06Z</dcterms:modified>
</cp:coreProperties>
</file>