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6AD" w:rsidRDefault="00DD56AD">
      <w:pPr>
        <w:widowControl w:val="0"/>
        <w:jc w:val="center"/>
        <w:rPr>
          <w:smallCaps/>
          <w:sz w:val="28"/>
          <w:szCs w:val="28"/>
        </w:rPr>
      </w:pPr>
      <w:r>
        <w:rPr>
          <w:smallCaps/>
          <w:sz w:val="28"/>
          <w:szCs w:val="28"/>
        </w:rPr>
        <w:t>District Court Of Appeal Of The State Of Florida</w:t>
      </w:r>
    </w:p>
    <w:p w:rsidR="00DD56AD" w:rsidRDefault="00DD56AD">
      <w:pPr>
        <w:widowControl w:val="0"/>
        <w:jc w:val="center"/>
        <w:rPr>
          <w:smallCaps/>
        </w:rPr>
      </w:pPr>
      <w:r>
        <w:rPr>
          <w:smallCaps/>
        </w:rPr>
        <w:t>Fourth District</w:t>
      </w:r>
    </w:p>
    <w:p w:rsidR="00DD56AD" w:rsidRDefault="00155F99">
      <w:pPr>
        <w:widowControl w:val="0"/>
        <w:jc w:val="center"/>
        <w:rPr>
          <w:i/>
          <w:iCs/>
          <w:sz w:val="22"/>
          <w:szCs w:val="22"/>
        </w:rPr>
      </w:pPr>
      <w:r>
        <w:rPr>
          <w:i/>
          <w:iCs/>
          <w:sz w:val="22"/>
          <w:szCs w:val="22"/>
        </w:rPr>
        <w:t>Jul</w:t>
      </w:r>
      <w:r w:rsidR="00715DD9">
        <w:rPr>
          <w:i/>
          <w:iCs/>
          <w:sz w:val="22"/>
          <w:szCs w:val="22"/>
        </w:rPr>
        <w:t>y</w:t>
      </w:r>
      <w:r w:rsidR="00DD56AD">
        <w:rPr>
          <w:i/>
          <w:iCs/>
          <w:sz w:val="22"/>
          <w:szCs w:val="22"/>
        </w:rPr>
        <w:t xml:space="preserve"> Term </w:t>
      </w:r>
      <w:r w:rsidR="00715DD9">
        <w:rPr>
          <w:i/>
          <w:iCs/>
          <w:sz w:val="22"/>
          <w:szCs w:val="22"/>
        </w:rPr>
        <w:t>2014</w:t>
      </w:r>
    </w:p>
    <w:p w:rsidR="00DD56AD" w:rsidRDefault="00DD56AD">
      <w:pPr>
        <w:widowControl w:val="0"/>
        <w:jc w:val="center"/>
      </w:pPr>
    </w:p>
    <w:p w:rsidR="00DD56AD" w:rsidRDefault="00715DD9">
      <w:pPr>
        <w:widowControl w:val="0"/>
        <w:jc w:val="center"/>
        <w:rPr>
          <w:b/>
        </w:rPr>
      </w:pPr>
      <w:r>
        <w:rPr>
          <w:b/>
        </w:rPr>
        <w:t>SABIR ABDUL-HAQQ YASIR</w:t>
      </w:r>
      <w:r w:rsidR="00DD56AD">
        <w:rPr>
          <w:b/>
        </w:rPr>
        <w:t>,</w:t>
      </w:r>
    </w:p>
    <w:p w:rsidR="00DD56AD" w:rsidRDefault="00DD56AD">
      <w:pPr>
        <w:widowControl w:val="0"/>
        <w:jc w:val="center"/>
      </w:pPr>
      <w:r>
        <w:t>Appellant,</w:t>
      </w:r>
    </w:p>
    <w:p w:rsidR="00DD56AD" w:rsidRDefault="00DD56AD">
      <w:pPr>
        <w:widowControl w:val="0"/>
        <w:jc w:val="center"/>
      </w:pPr>
    </w:p>
    <w:p w:rsidR="00DD56AD" w:rsidRDefault="00DD56AD">
      <w:pPr>
        <w:widowControl w:val="0"/>
        <w:jc w:val="center"/>
      </w:pPr>
      <w:r>
        <w:t>v.</w:t>
      </w:r>
    </w:p>
    <w:p w:rsidR="00DD56AD" w:rsidRDefault="00DD56AD">
      <w:pPr>
        <w:widowControl w:val="0"/>
        <w:jc w:val="center"/>
      </w:pPr>
    </w:p>
    <w:p w:rsidR="00DD56AD" w:rsidRDefault="00715DD9">
      <w:pPr>
        <w:widowControl w:val="0"/>
        <w:jc w:val="center"/>
        <w:rPr>
          <w:b/>
        </w:rPr>
      </w:pPr>
      <w:r>
        <w:rPr>
          <w:b/>
        </w:rPr>
        <w:t xml:space="preserve">HOWARD C. FORMAN, </w:t>
      </w:r>
      <w:r w:rsidRPr="005C0F0A">
        <w:t>Clerk of Courts</w:t>
      </w:r>
      <w:r w:rsidR="00DD56AD" w:rsidRPr="005C0F0A">
        <w:t>,</w:t>
      </w:r>
    </w:p>
    <w:p w:rsidR="00DD56AD" w:rsidRDefault="00DD56AD">
      <w:pPr>
        <w:widowControl w:val="0"/>
        <w:jc w:val="center"/>
      </w:pPr>
      <w:r w:rsidRPr="00D8042F">
        <w:t>Appellee</w:t>
      </w:r>
      <w:r>
        <w:t>.</w:t>
      </w:r>
    </w:p>
    <w:p w:rsidR="00DD56AD" w:rsidRDefault="00DD56AD">
      <w:pPr>
        <w:widowControl w:val="0"/>
        <w:jc w:val="center"/>
      </w:pPr>
    </w:p>
    <w:p w:rsidR="00DD56AD" w:rsidRDefault="00DD56AD">
      <w:pPr>
        <w:widowControl w:val="0"/>
        <w:jc w:val="center"/>
      </w:pPr>
      <w:r>
        <w:t>No. 4D</w:t>
      </w:r>
      <w:r w:rsidR="00715DD9">
        <w:t>13-3336</w:t>
      </w:r>
    </w:p>
    <w:p w:rsidR="00DD56AD" w:rsidRDefault="00DD56AD">
      <w:pPr>
        <w:widowControl w:val="0"/>
        <w:jc w:val="center"/>
      </w:pPr>
    </w:p>
    <w:p w:rsidR="00DD56AD" w:rsidRDefault="006F2BB6">
      <w:pPr>
        <w:widowControl w:val="0"/>
        <w:jc w:val="center"/>
      </w:pPr>
      <w:r>
        <w:t>[September 10, 2014</w:t>
      </w:r>
      <w:bookmarkStart w:id="0" w:name="_GoBack"/>
      <w:bookmarkEnd w:id="0"/>
      <w:r w:rsidR="00DD56AD">
        <w:t>]</w:t>
      </w:r>
    </w:p>
    <w:p w:rsidR="00DD56AD" w:rsidRDefault="00DD56AD">
      <w:pPr>
        <w:widowControl w:val="0"/>
        <w:jc w:val="center"/>
      </w:pPr>
    </w:p>
    <w:p w:rsidR="0057259A" w:rsidRPr="00E2352A" w:rsidRDefault="0057259A" w:rsidP="0057259A">
      <w:pPr>
        <w:widowControl w:val="0"/>
        <w:ind w:firstLine="360"/>
        <w:jc w:val="both"/>
      </w:pPr>
      <w:r w:rsidRPr="00E2352A">
        <w:t xml:space="preserve">Appeal </w:t>
      </w:r>
      <w:r w:rsidR="00290C42">
        <w:t xml:space="preserve">of a non-final order </w:t>
      </w:r>
      <w:r w:rsidRPr="00E2352A">
        <w:t xml:space="preserve">from the Circuit Court for the </w:t>
      </w:r>
      <w:r w:rsidR="00715DD9">
        <w:t>Seventeenth Judicial Circuit, Broward County</w:t>
      </w:r>
      <w:r w:rsidRPr="00E2352A">
        <w:t xml:space="preserve">; </w:t>
      </w:r>
      <w:r w:rsidR="00715DD9">
        <w:t>Matthew I. Destry</w:t>
      </w:r>
      <w:r w:rsidRPr="00E2352A">
        <w:t xml:space="preserve">, Judge; L.T. Case No. </w:t>
      </w:r>
      <w:r w:rsidR="00715DD9">
        <w:t>1300000</w:t>
      </w:r>
      <w:r w:rsidR="003F36BE">
        <w:t>6</w:t>
      </w:r>
      <w:r w:rsidR="00715DD9">
        <w:t>WF10</w:t>
      </w:r>
      <w:r w:rsidRPr="00E2352A">
        <w:t>.</w:t>
      </w:r>
    </w:p>
    <w:p w:rsidR="0057259A" w:rsidRPr="00E2352A" w:rsidRDefault="0057259A" w:rsidP="0057259A">
      <w:pPr>
        <w:widowControl w:val="0"/>
        <w:ind w:firstLine="360"/>
        <w:jc w:val="both"/>
      </w:pPr>
    </w:p>
    <w:p w:rsidR="0057259A" w:rsidRPr="00E2352A" w:rsidRDefault="00715DD9" w:rsidP="0057259A">
      <w:pPr>
        <w:widowControl w:val="0"/>
        <w:ind w:firstLine="360"/>
        <w:jc w:val="both"/>
      </w:pPr>
      <w:r>
        <w:t>Sabir Abdul-Haqq Yasir, Lake City, pro se.</w:t>
      </w:r>
    </w:p>
    <w:p w:rsidR="0057259A" w:rsidRPr="00E2352A" w:rsidRDefault="0057259A" w:rsidP="0057259A">
      <w:pPr>
        <w:widowControl w:val="0"/>
        <w:ind w:firstLine="360"/>
        <w:jc w:val="both"/>
      </w:pPr>
    </w:p>
    <w:p w:rsidR="0057259A" w:rsidRPr="00E2352A" w:rsidRDefault="00715DD9" w:rsidP="0057259A">
      <w:pPr>
        <w:widowControl w:val="0"/>
        <w:ind w:firstLine="360"/>
        <w:jc w:val="both"/>
      </w:pPr>
      <w:r>
        <w:t>No appearance for appellee.</w:t>
      </w:r>
    </w:p>
    <w:p w:rsidR="00DD56AD" w:rsidRDefault="00DD56AD">
      <w:pPr>
        <w:widowControl w:val="0"/>
      </w:pPr>
    </w:p>
    <w:p w:rsidR="00155F99" w:rsidRDefault="00155F99" w:rsidP="00155F99">
      <w:pPr>
        <w:widowControl w:val="0"/>
        <w:rPr>
          <w:smallCaps/>
        </w:rPr>
      </w:pPr>
      <w:r>
        <w:rPr>
          <w:smallCaps/>
        </w:rPr>
        <w:t>Forst, J.</w:t>
      </w:r>
    </w:p>
    <w:p w:rsidR="00155F99" w:rsidRDefault="00155F99">
      <w:pPr>
        <w:widowControl w:val="0"/>
      </w:pPr>
    </w:p>
    <w:p w:rsidR="00155F99" w:rsidRDefault="00155F99" w:rsidP="00155F99">
      <w:pPr>
        <w:ind w:firstLine="360"/>
        <w:jc w:val="both"/>
      </w:pPr>
      <w:r>
        <w:t>The petitioner appeals the trial court’s order denying his motion to tax costs</w:t>
      </w:r>
      <w:r w:rsidR="00CB3883">
        <w:t>.</w:t>
      </w:r>
      <w:r>
        <w:t xml:space="preserve">  </w:t>
      </w:r>
      <w:r w:rsidR="00685DAA">
        <w:t xml:space="preserve">As neither the order nor the record explains the trial court’s rationale in denying the motion, </w:t>
      </w:r>
      <w:r w:rsidR="00226F4A">
        <w:t>w</w:t>
      </w:r>
      <w:r>
        <w:t>e reverse and remand.</w:t>
      </w:r>
    </w:p>
    <w:p w:rsidR="00155F99" w:rsidRDefault="00155F99" w:rsidP="00155F99">
      <w:pPr>
        <w:ind w:firstLine="360"/>
        <w:jc w:val="both"/>
      </w:pPr>
    </w:p>
    <w:p w:rsidR="00E1228B" w:rsidRPr="00E1228B" w:rsidRDefault="00E1228B" w:rsidP="00710D36">
      <w:pPr>
        <w:jc w:val="center"/>
        <w:rPr>
          <w:b/>
        </w:rPr>
      </w:pPr>
      <w:r w:rsidRPr="00E1228B">
        <w:rPr>
          <w:b/>
        </w:rPr>
        <w:t>Background</w:t>
      </w:r>
    </w:p>
    <w:p w:rsidR="00E1228B" w:rsidRDefault="00E1228B" w:rsidP="00155F99">
      <w:pPr>
        <w:ind w:firstLine="360"/>
        <w:jc w:val="both"/>
      </w:pPr>
    </w:p>
    <w:p w:rsidR="00155F99" w:rsidRDefault="00155F99" w:rsidP="00155F99">
      <w:pPr>
        <w:ind w:firstLine="360"/>
        <w:jc w:val="both"/>
      </w:pPr>
      <w:r>
        <w:t>The petitioner – who is incarcerated – sent two public records requests to the Broward County Clerk’s office, seeking copies of documents from the court file in his criminal case.  The first request was dated September 3, 2012, and the second was dated October 1, 2012.  Seemingly receiving no response from the Clerk’s office, the petitioner sought a judicial means of compelling the requested documents.  He filed a petition for writ of mandamus on December 26, 2012, which was granted by the trial court.  With this mandate from the court, the Clerk’s office finally complied with the petitioner’s records request</w:t>
      </w:r>
      <w:r w:rsidR="00710D36">
        <w:t>s</w:t>
      </w:r>
      <w:r>
        <w:t>.  In doing so, the petitioner incurred costs for copies and mailing</w:t>
      </w:r>
      <w:r w:rsidR="00CB3883">
        <w:t>.</w:t>
      </w:r>
      <w:r>
        <w:t xml:space="preserve">  </w:t>
      </w:r>
    </w:p>
    <w:p w:rsidR="00155F99" w:rsidRDefault="00155F99" w:rsidP="00155F99">
      <w:pPr>
        <w:ind w:firstLine="360"/>
        <w:jc w:val="both"/>
      </w:pPr>
    </w:p>
    <w:p w:rsidR="00155F99" w:rsidRDefault="00155F99" w:rsidP="00155F99">
      <w:pPr>
        <w:ind w:firstLine="360"/>
        <w:jc w:val="both"/>
      </w:pPr>
      <w:r>
        <w:lastRenderedPageBreak/>
        <w:t>The petitioner then filed a motion to tax costs</w:t>
      </w:r>
      <w:r w:rsidR="00CB3883">
        <w:t>.</w:t>
      </w:r>
      <w:r>
        <w:t xml:space="preserve">  The trial court summarily denied this motion.  The petitioner now appeals the denial of his motion to tax costs.  </w:t>
      </w:r>
    </w:p>
    <w:p w:rsidR="00155F99" w:rsidRDefault="00155F99" w:rsidP="00155F99">
      <w:pPr>
        <w:ind w:firstLine="360"/>
        <w:jc w:val="both"/>
      </w:pPr>
    </w:p>
    <w:p w:rsidR="00CB3883" w:rsidRDefault="00E1228B" w:rsidP="00A30A3A">
      <w:pPr>
        <w:jc w:val="center"/>
        <w:rPr>
          <w:b/>
        </w:rPr>
      </w:pPr>
      <w:r w:rsidRPr="00E1228B">
        <w:rPr>
          <w:b/>
        </w:rPr>
        <w:t>Trial Court</w:t>
      </w:r>
      <w:r w:rsidR="00A30A3A">
        <w:rPr>
          <w:b/>
        </w:rPr>
        <w:t xml:space="preserve"> failed to make sufficient</w:t>
      </w:r>
      <w:r w:rsidR="00CB3883">
        <w:rPr>
          <w:b/>
        </w:rPr>
        <w:t xml:space="preserve"> </w:t>
      </w:r>
      <w:r w:rsidR="00A30A3A">
        <w:rPr>
          <w:b/>
        </w:rPr>
        <w:t xml:space="preserve">findings </w:t>
      </w:r>
    </w:p>
    <w:p w:rsidR="00E1228B" w:rsidRPr="00E1228B" w:rsidRDefault="00A30A3A" w:rsidP="00A30A3A">
      <w:pPr>
        <w:jc w:val="center"/>
        <w:rPr>
          <w:b/>
        </w:rPr>
      </w:pPr>
      <w:r>
        <w:rPr>
          <w:b/>
        </w:rPr>
        <w:t>to support its s</w:t>
      </w:r>
      <w:r w:rsidR="00E1228B" w:rsidRPr="00E1228B">
        <w:rPr>
          <w:b/>
        </w:rPr>
        <w:t xml:space="preserve">ummary </w:t>
      </w:r>
      <w:r>
        <w:rPr>
          <w:b/>
        </w:rPr>
        <w:t>denial of the m</w:t>
      </w:r>
      <w:r w:rsidR="00E1228B" w:rsidRPr="00E1228B">
        <w:rPr>
          <w:b/>
        </w:rPr>
        <w:t>otion</w:t>
      </w:r>
      <w:r w:rsidR="00710D36">
        <w:rPr>
          <w:b/>
        </w:rPr>
        <w:t>.</w:t>
      </w:r>
    </w:p>
    <w:p w:rsidR="00E1228B" w:rsidRDefault="00E1228B" w:rsidP="00155F99">
      <w:pPr>
        <w:ind w:firstLine="360"/>
        <w:jc w:val="both"/>
      </w:pPr>
    </w:p>
    <w:p w:rsidR="00155F99" w:rsidRDefault="00155F99" w:rsidP="00155F99">
      <w:pPr>
        <w:ind w:firstLine="360"/>
        <w:jc w:val="both"/>
      </w:pPr>
      <w:r>
        <w:t xml:space="preserve">Mandamus is an appropriate means of compelling compliance with the Public Records Act. </w:t>
      </w:r>
      <w:r w:rsidR="00226F4A">
        <w:t xml:space="preserve"> </w:t>
      </w:r>
      <w:r>
        <w:rPr>
          <w:i/>
        </w:rPr>
        <w:t>Weeks v. Golden</w:t>
      </w:r>
      <w:r>
        <w:t xml:space="preserve">, 764 So. 2d 633, 634 (Fla. 1st DCA 2000).  A party is entitled to </w:t>
      </w:r>
      <w:r w:rsidR="00220971">
        <w:t xml:space="preserve">“the reasonable </w:t>
      </w:r>
      <w:r>
        <w:t>costs</w:t>
      </w:r>
      <w:r w:rsidR="00220971">
        <w:t xml:space="preserve"> of enforcement”</w:t>
      </w:r>
      <w:r>
        <w:t xml:space="preserve"> under section 119.12, Florida Statutes</w:t>
      </w:r>
      <w:r w:rsidR="00710D36">
        <w:t xml:space="preserve"> (2013)</w:t>
      </w:r>
      <w:r>
        <w:t xml:space="preserve">, when “such agency unlawfully refused to permit a public record to be inspected or copied[.]”  </w:t>
      </w:r>
      <w:r w:rsidR="00710D36">
        <w:t>“</w:t>
      </w:r>
      <w:r>
        <w:t>Unlawful refusal under section 119.12 includes not only affirmative refusal to produce records, but also unjustified delay in producing them.</w:t>
      </w:r>
      <w:r w:rsidR="00710D36">
        <w:t>”</w:t>
      </w:r>
      <w:r>
        <w:t xml:space="preserve"> </w:t>
      </w:r>
      <w:r w:rsidR="00226F4A">
        <w:t xml:space="preserve"> </w:t>
      </w:r>
      <w:r>
        <w:rPr>
          <w:i/>
        </w:rPr>
        <w:t>Lilker v. Suwanee Valley Transit Auth.</w:t>
      </w:r>
      <w:r>
        <w:t>, 133 So. 3d 654, 655-56 (Fla. 1st DCA 2014)</w:t>
      </w:r>
      <w:r w:rsidR="00137A0A">
        <w:t xml:space="preserve">; </w:t>
      </w:r>
      <w:r w:rsidR="00137A0A" w:rsidRPr="00137A0A">
        <w:rPr>
          <w:i/>
        </w:rPr>
        <w:t>see also</w:t>
      </w:r>
      <w:r w:rsidR="00226F4A">
        <w:t xml:space="preserve"> </w:t>
      </w:r>
      <w:r w:rsidR="00226F4A" w:rsidRPr="007E063C">
        <w:rPr>
          <w:i/>
        </w:rPr>
        <w:t>Office of State Attorney for Thirteenth Judicial Circuit of Fla. v. Gonzalez</w:t>
      </w:r>
      <w:r w:rsidR="00226F4A">
        <w:t xml:space="preserve">, 953 So. 2d 759, 760 (Fla. 2d </w:t>
      </w:r>
      <w:r w:rsidR="007E063C">
        <w:t>DCA 2007)</w:t>
      </w:r>
      <w:r w:rsidR="00137A0A">
        <w:t xml:space="preserve">; </w:t>
      </w:r>
      <w:hyperlink r:id="rId7" w:anchor="co_pp_sp_735_224" w:history="1">
        <w:r w:rsidR="00137A0A" w:rsidRPr="00137A0A">
          <w:rPr>
            <w:rStyle w:val="Emphasis"/>
            <w:rFonts w:cs="Arial"/>
          </w:rPr>
          <w:t>Barfield v. Town of Eatonville,</w:t>
        </w:r>
        <w:r w:rsidR="00137A0A" w:rsidRPr="00137A0A">
          <w:rPr>
            <w:rStyle w:val="Hyperlink"/>
            <w:rFonts w:cs="Arial"/>
            <w:color w:val="auto"/>
          </w:rPr>
          <w:t xml:space="preserve"> 675 So.</w:t>
        </w:r>
        <w:r w:rsidR="00CB3883">
          <w:rPr>
            <w:rStyle w:val="Hyperlink"/>
            <w:rFonts w:cs="Arial"/>
            <w:color w:val="auto"/>
          </w:rPr>
          <w:t xml:space="preserve"> </w:t>
        </w:r>
        <w:r w:rsidR="00137A0A" w:rsidRPr="00137A0A">
          <w:rPr>
            <w:rStyle w:val="Hyperlink"/>
            <w:rFonts w:cs="Arial"/>
            <w:color w:val="auto"/>
          </w:rPr>
          <w:t>2d 223, 224 (Fla. 5th DCA 1996)</w:t>
        </w:r>
      </w:hyperlink>
      <w:r w:rsidR="00137A0A">
        <w:rPr>
          <w:rFonts w:cs="Arial"/>
        </w:rPr>
        <w:t>;</w:t>
      </w:r>
      <w:r w:rsidR="00137A0A" w:rsidRPr="00137A0A">
        <w:rPr>
          <w:rFonts w:cs="Arial"/>
        </w:rPr>
        <w:t xml:space="preserve"> </w:t>
      </w:r>
      <w:hyperlink r:id="rId8" w:history="1">
        <w:r w:rsidR="0042646B">
          <w:rPr>
            <w:rStyle w:val="Emphasis"/>
            <w:rFonts w:cs="Arial"/>
          </w:rPr>
          <w:t>Brunson v. Dade C</w:t>
        </w:r>
        <w:r w:rsidR="00137A0A" w:rsidRPr="00137A0A">
          <w:rPr>
            <w:rStyle w:val="Emphasis"/>
            <w:rFonts w:cs="Arial"/>
          </w:rPr>
          <w:t>nty</w:t>
        </w:r>
        <w:r w:rsidR="0042646B">
          <w:rPr>
            <w:rStyle w:val="Emphasis"/>
            <w:rFonts w:cs="Arial"/>
          </w:rPr>
          <w:t>.</w:t>
        </w:r>
        <w:r w:rsidR="00137A0A" w:rsidRPr="00137A0A">
          <w:rPr>
            <w:rStyle w:val="Emphasis"/>
            <w:rFonts w:cs="Arial"/>
          </w:rPr>
          <w:t xml:space="preserve"> Sch</w:t>
        </w:r>
        <w:r w:rsidR="0042646B">
          <w:rPr>
            <w:rStyle w:val="Emphasis"/>
            <w:rFonts w:cs="Arial"/>
          </w:rPr>
          <w:t>.</w:t>
        </w:r>
        <w:r w:rsidR="00137A0A" w:rsidRPr="00137A0A">
          <w:rPr>
            <w:rStyle w:val="Emphasis"/>
            <w:rFonts w:cs="Arial"/>
          </w:rPr>
          <w:t xml:space="preserve"> Bd</w:t>
        </w:r>
        <w:r w:rsidR="0042646B">
          <w:rPr>
            <w:rStyle w:val="Emphasis"/>
            <w:rFonts w:cs="Arial"/>
          </w:rPr>
          <w:t>.</w:t>
        </w:r>
        <w:r w:rsidR="00137A0A" w:rsidRPr="00137A0A">
          <w:rPr>
            <w:rStyle w:val="Emphasis"/>
            <w:rFonts w:cs="Arial"/>
          </w:rPr>
          <w:t>,</w:t>
        </w:r>
        <w:r w:rsidR="00137A0A" w:rsidRPr="00137A0A">
          <w:rPr>
            <w:rStyle w:val="Hyperlink"/>
            <w:rFonts w:cs="Arial"/>
            <w:color w:val="auto"/>
          </w:rPr>
          <w:t xml:space="preserve"> 525 So.</w:t>
        </w:r>
        <w:r w:rsidR="00CB3883">
          <w:rPr>
            <w:rStyle w:val="Hyperlink"/>
            <w:rFonts w:cs="Arial"/>
            <w:color w:val="auto"/>
          </w:rPr>
          <w:t xml:space="preserve"> </w:t>
        </w:r>
        <w:r w:rsidR="00137A0A" w:rsidRPr="00137A0A">
          <w:rPr>
            <w:rStyle w:val="Hyperlink"/>
            <w:rFonts w:cs="Arial"/>
            <w:color w:val="auto"/>
          </w:rPr>
          <w:t>2d 933 (Fla. 3d DCA 1988)</w:t>
        </w:r>
      </w:hyperlink>
      <w:r w:rsidR="007E063C" w:rsidRPr="00137A0A">
        <w:t>.</w:t>
      </w:r>
      <w:r w:rsidRPr="00137A0A">
        <w:t xml:space="preserve">  </w:t>
      </w:r>
    </w:p>
    <w:p w:rsidR="00155F99" w:rsidRDefault="00155F99" w:rsidP="00155F99">
      <w:pPr>
        <w:ind w:firstLine="360"/>
        <w:jc w:val="both"/>
      </w:pPr>
    </w:p>
    <w:p w:rsidR="00155F99" w:rsidRDefault="00155F99" w:rsidP="00155F99">
      <w:pPr>
        <w:ind w:firstLine="360"/>
        <w:jc w:val="both"/>
      </w:pPr>
      <w:r>
        <w:t xml:space="preserve">In this case, the petitioner sent two public records requests before having to resort to the courts in order to compel compliance with his requests.  Nearly four months after the petitioner sent his first request, and with an order from the court, the Clerk’s office finally surrendered the requested documents. </w:t>
      </w:r>
      <w:r w:rsidR="007E063C">
        <w:t xml:space="preserve"> </w:t>
      </w:r>
      <w:r>
        <w:t>The order denying the petitioner’s moti</w:t>
      </w:r>
      <w:r w:rsidR="007E063C">
        <w:t>on to tax costs does not address</w:t>
      </w:r>
      <w:r>
        <w:t xml:space="preserve"> this delay.  Thus, we are unable to surmise whether the Clerk’s </w:t>
      </w:r>
      <w:r w:rsidR="007E063C">
        <w:t>refusal/</w:t>
      </w:r>
      <w:r>
        <w:t xml:space="preserve">delay was justified.  If not, then the petitioner would be entitled to his costs pursuant to section 119.12.  </w:t>
      </w:r>
      <w:r>
        <w:rPr>
          <w:i/>
        </w:rPr>
        <w:t>Lilker</w:t>
      </w:r>
      <w:r>
        <w:t xml:space="preserve">, 133 So. 3d at 655-56. </w:t>
      </w:r>
    </w:p>
    <w:p w:rsidR="00155F99" w:rsidRDefault="00155F99" w:rsidP="00155F99">
      <w:pPr>
        <w:ind w:firstLine="360"/>
        <w:jc w:val="both"/>
      </w:pPr>
    </w:p>
    <w:p w:rsidR="00155F99" w:rsidRPr="00715B53" w:rsidRDefault="00155F99" w:rsidP="00155F99">
      <w:pPr>
        <w:ind w:firstLine="360"/>
        <w:jc w:val="both"/>
      </w:pPr>
      <w:r>
        <w:t xml:space="preserve">Although section 119.12 provides a basis for costs associated with </w:t>
      </w:r>
      <w:r>
        <w:rPr>
          <w:i/>
        </w:rPr>
        <w:t>enforcing</w:t>
      </w:r>
      <w:r>
        <w:t xml:space="preserve"> compliance with the Public Records Act, some postage, envelope and copying costs can also be awarded to a party who is incarcerated so long as those costs are reasonable.</w:t>
      </w:r>
      <w:r w:rsidR="00220971">
        <w:t xml:space="preserve"> </w:t>
      </w:r>
      <w:r>
        <w:t xml:space="preserve"> </w:t>
      </w:r>
      <w:r>
        <w:rPr>
          <w:i/>
        </w:rPr>
        <w:t>Weeks v. Golden</w:t>
      </w:r>
      <w:r>
        <w:t xml:space="preserve">, 846 So. 2d 1247, 1249-50 (Fla. 1st DCA 2003).  Accordingly, we reverse the order denying the </w:t>
      </w:r>
      <w:r w:rsidR="00220971">
        <w:t>petitioner’s</w:t>
      </w:r>
      <w:r>
        <w:t xml:space="preserve"> motion to tax costs and remand the case for further proceedings consistent with this opinion. </w:t>
      </w:r>
    </w:p>
    <w:p w:rsidR="00696459" w:rsidRDefault="00696459" w:rsidP="00696459">
      <w:pPr>
        <w:widowControl w:val="0"/>
        <w:rPr>
          <w:smallCaps/>
        </w:rPr>
      </w:pPr>
    </w:p>
    <w:p w:rsidR="00155F99" w:rsidRPr="00E41D72" w:rsidRDefault="00155F99" w:rsidP="00155F99">
      <w:pPr>
        <w:widowControl w:val="0"/>
        <w:rPr>
          <w:i/>
        </w:rPr>
      </w:pPr>
      <w:r>
        <w:tab/>
      </w:r>
      <w:r>
        <w:rPr>
          <w:i/>
        </w:rPr>
        <w:t>Reversed</w:t>
      </w:r>
      <w:r w:rsidR="00685DAA">
        <w:rPr>
          <w:i/>
        </w:rPr>
        <w:t xml:space="preserve"> and Remanded</w:t>
      </w:r>
      <w:r>
        <w:rPr>
          <w:i/>
        </w:rPr>
        <w:t>.</w:t>
      </w:r>
    </w:p>
    <w:p w:rsidR="00155F99" w:rsidRDefault="00155F99" w:rsidP="00155F99">
      <w:pPr>
        <w:widowControl w:val="0"/>
      </w:pPr>
    </w:p>
    <w:p w:rsidR="00155F99" w:rsidRDefault="00155F99" w:rsidP="00155F99">
      <w:pPr>
        <w:widowControl w:val="0"/>
      </w:pPr>
      <w:r w:rsidRPr="00290C42">
        <w:rPr>
          <w:smallCaps/>
        </w:rPr>
        <w:t>Stevenson</w:t>
      </w:r>
      <w:r w:rsidRPr="00615AF2">
        <w:rPr>
          <w:smallCaps/>
        </w:rPr>
        <w:t xml:space="preserve"> </w:t>
      </w:r>
      <w:r>
        <w:t xml:space="preserve">and </w:t>
      </w:r>
      <w:r w:rsidR="00EE3312" w:rsidRPr="00290C42">
        <w:rPr>
          <w:smallCaps/>
        </w:rPr>
        <w:t>Ciklin</w:t>
      </w:r>
      <w:r>
        <w:t>, JJ., concur.</w:t>
      </w:r>
    </w:p>
    <w:p w:rsidR="00155F99" w:rsidRDefault="00155F99" w:rsidP="00155F99">
      <w:pPr>
        <w:widowControl w:val="0"/>
        <w:jc w:val="center"/>
      </w:pPr>
    </w:p>
    <w:p w:rsidR="00155F99" w:rsidRDefault="00155F99" w:rsidP="00155F99">
      <w:pPr>
        <w:widowControl w:val="0"/>
        <w:jc w:val="center"/>
        <w:rPr>
          <w:b/>
        </w:rPr>
      </w:pPr>
      <w:r>
        <w:rPr>
          <w:b/>
        </w:rPr>
        <w:t>*            *            *</w:t>
      </w:r>
    </w:p>
    <w:p w:rsidR="00155F99" w:rsidRDefault="00155F99" w:rsidP="00155F99">
      <w:pPr>
        <w:widowControl w:val="0"/>
        <w:ind w:firstLine="360"/>
        <w:jc w:val="both"/>
      </w:pPr>
    </w:p>
    <w:p w:rsidR="00155F99" w:rsidRDefault="00155F99" w:rsidP="00155F99">
      <w:pPr>
        <w:widowControl w:val="0"/>
        <w:ind w:firstLine="360"/>
        <w:jc w:val="both"/>
        <w:rPr>
          <w:i/>
        </w:rPr>
      </w:pPr>
      <w:r>
        <w:rPr>
          <w:b/>
          <w:i/>
        </w:rPr>
        <w:lastRenderedPageBreak/>
        <w:t>Not final until disposition of timely filed motion for rehearing.</w:t>
      </w:r>
    </w:p>
    <w:p w:rsidR="00155F99" w:rsidRDefault="00155F99" w:rsidP="00155F99">
      <w:pPr>
        <w:widowControl w:val="0"/>
        <w:ind w:firstLine="360"/>
        <w:jc w:val="both"/>
        <w:rPr>
          <w:smallCaps/>
        </w:rPr>
      </w:pPr>
    </w:p>
    <w:p w:rsidR="00696459" w:rsidRPr="00E7029D" w:rsidRDefault="00696459" w:rsidP="00696459">
      <w:pPr>
        <w:widowControl w:val="0"/>
        <w:rPr>
          <w:i/>
        </w:rPr>
      </w:pPr>
    </w:p>
    <w:p w:rsidR="00696459" w:rsidRDefault="00696459">
      <w:pPr>
        <w:widowControl w:val="0"/>
      </w:pPr>
    </w:p>
    <w:sectPr w:rsidR="00696459">
      <w:footerReference w:type="default" r:id="rId9"/>
      <w:pgSz w:w="12240" w:h="15840" w:code="1"/>
      <w:pgMar w:top="1800" w:right="1800" w:bottom="1584" w:left="1800" w:header="1440" w:footer="86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DD9" w:rsidRDefault="00715DD9">
      <w:r>
        <w:separator/>
      </w:r>
    </w:p>
  </w:endnote>
  <w:endnote w:type="continuationSeparator" w:id="0">
    <w:p w:rsidR="00715DD9" w:rsidRDefault="0071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6F5" w:rsidRDefault="00AC06F5">
    <w:pPr>
      <w:pStyle w:val="Footer"/>
      <w:jc w:val="center"/>
    </w:pPr>
    <w:r>
      <w:fldChar w:fldCharType="begin"/>
    </w:r>
    <w:r>
      <w:instrText xml:space="preserve"> PAGE   \* MERGEFORMAT </w:instrText>
    </w:r>
    <w:r>
      <w:fldChar w:fldCharType="separate"/>
    </w:r>
    <w:r w:rsidR="00F92615">
      <w:rPr>
        <w:noProof/>
      </w:rPr>
      <w:t>3</w:t>
    </w:r>
    <w:r>
      <w:fldChar w:fldCharType="end"/>
    </w:r>
  </w:p>
  <w:p w:rsidR="00AC06F5" w:rsidRDefault="00AC0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DD9" w:rsidRDefault="00715DD9">
      <w:r>
        <w:separator/>
      </w:r>
    </w:p>
  </w:footnote>
  <w:footnote w:type="continuationSeparator" w:id="0">
    <w:p w:rsidR="00715DD9" w:rsidRDefault="00715D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5C15BAE"/>
    <w:multiLevelType w:val="hybridMultilevel"/>
    <w:tmpl w:val="9466BBBC"/>
    <w:lvl w:ilvl="0" w:tplc="1E1C6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DD9"/>
    <w:rsid w:val="00137A0A"/>
    <w:rsid w:val="00155F99"/>
    <w:rsid w:val="00220971"/>
    <w:rsid w:val="00226F4A"/>
    <w:rsid w:val="00290C42"/>
    <w:rsid w:val="003F36BE"/>
    <w:rsid w:val="00413583"/>
    <w:rsid w:val="0042646B"/>
    <w:rsid w:val="0057259A"/>
    <w:rsid w:val="005C0F0A"/>
    <w:rsid w:val="00624C79"/>
    <w:rsid w:val="00685DAA"/>
    <w:rsid w:val="00696459"/>
    <w:rsid w:val="006F2BB6"/>
    <w:rsid w:val="00710D36"/>
    <w:rsid w:val="00715DD9"/>
    <w:rsid w:val="007C64EB"/>
    <w:rsid w:val="007D5D0B"/>
    <w:rsid w:val="007E063C"/>
    <w:rsid w:val="008E3745"/>
    <w:rsid w:val="00A30A3A"/>
    <w:rsid w:val="00AC06F5"/>
    <w:rsid w:val="00BD1B4D"/>
    <w:rsid w:val="00CB3883"/>
    <w:rsid w:val="00DD56AD"/>
    <w:rsid w:val="00E1228B"/>
    <w:rsid w:val="00EE3312"/>
    <w:rsid w:val="00F92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84EB5D5-E19A-4187-AE28-B8D30049D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Bookman Old Style" w:hAnsi="Bookman Old Style"/>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rPr>
      <w:i/>
      <w:iCs/>
    </w:rPr>
  </w:style>
  <w:style w:type="paragraph" w:styleId="NormalWeb">
    <w:name w:val="Normal (Web)"/>
    <w:basedOn w:val="Normal"/>
    <w:link w:val="NormalWebChar"/>
  </w:style>
  <w:style w:type="paragraph" w:customStyle="1" w:styleId="Doubleindent">
    <w:name w:val="Double indent"/>
    <w:basedOn w:val="Normal"/>
    <w:link w:val="DoubleindentCharChar"/>
    <w:pPr>
      <w:spacing w:before="100" w:beforeAutospacing="1" w:after="100" w:afterAutospacing="1"/>
      <w:ind w:left="720" w:right="720"/>
    </w:pPr>
    <w:rPr>
      <w:rFonts w:cs="Arial"/>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sz w:val="20"/>
    </w:rPr>
  </w:style>
  <w:style w:type="character" w:customStyle="1" w:styleId="StyleBookmanOldStyleSmallcaps">
    <w:name w:val="Style Bookman Old Style Small caps"/>
    <w:rPr>
      <w:rFonts w:ascii="Bookman Old Style" w:hAnsi="Bookman Old Style"/>
      <w:smallCaps/>
      <w:sz w:val="24"/>
    </w:rPr>
  </w:style>
  <w:style w:type="character" w:customStyle="1" w:styleId="NormalWebChar">
    <w:name w:val="Normal (Web) Char"/>
    <w:link w:val="NormalWeb"/>
    <w:rPr>
      <w:rFonts w:ascii="Bookman Old Style" w:hAnsi="Bookman Old Style"/>
      <w:sz w:val="24"/>
      <w:szCs w:val="24"/>
      <w:lang w:val="en-US" w:eastAsia="en-US" w:bidi="ar-SA"/>
    </w:rPr>
  </w:style>
  <w:style w:type="character" w:customStyle="1" w:styleId="Bold">
    <w:name w:val="Bold"/>
    <w:rPr>
      <w:b/>
      <w:bCs/>
    </w:rPr>
  </w:style>
  <w:style w:type="character" w:customStyle="1" w:styleId="DoubleindentCharChar">
    <w:name w:val="Double indent Char Char"/>
    <w:link w:val="Doubleindent"/>
    <w:rPr>
      <w:rFonts w:ascii="Bookman Old Style" w:hAnsi="Bookman Old Style" w:cs="Arial"/>
      <w:sz w:val="24"/>
      <w:szCs w:val="24"/>
      <w:lang w:val="en-US" w:eastAsia="en-US" w:bidi="ar-SA"/>
    </w:rPr>
  </w:style>
  <w:style w:type="character" w:customStyle="1" w:styleId="FooterChar">
    <w:name w:val="Footer Char"/>
    <w:link w:val="Footer"/>
    <w:uiPriority w:val="99"/>
    <w:rsid w:val="00AC06F5"/>
    <w:rPr>
      <w:rFonts w:ascii="Bookman Old Style" w:hAnsi="Bookman Old Style"/>
      <w:szCs w:val="24"/>
    </w:rPr>
  </w:style>
  <w:style w:type="paragraph" w:styleId="ListParagraph">
    <w:name w:val="List Paragraph"/>
    <w:basedOn w:val="Normal"/>
    <w:uiPriority w:val="34"/>
    <w:qFormat/>
    <w:rsid w:val="00E1228B"/>
    <w:pPr>
      <w:ind w:left="720"/>
      <w:contextualSpacing/>
    </w:pPr>
  </w:style>
  <w:style w:type="character" w:styleId="Hyperlink">
    <w:name w:val="Hyperlink"/>
    <w:basedOn w:val="DefaultParagraphFont"/>
    <w:uiPriority w:val="99"/>
    <w:unhideWhenUsed/>
    <w:rsid w:val="00137A0A"/>
    <w:rPr>
      <w:strike w:val="0"/>
      <w:dstrike w:val="0"/>
      <w:color w:val="145DA4"/>
      <w:u w:val="none"/>
      <w:effect w:val="none"/>
    </w:rPr>
  </w:style>
  <w:style w:type="character" w:styleId="Emphasis">
    <w:name w:val="Emphasis"/>
    <w:basedOn w:val="DefaultParagraphFont"/>
    <w:uiPriority w:val="20"/>
    <w:qFormat/>
    <w:rsid w:val="00137A0A"/>
    <w:rPr>
      <w:i/>
      <w:iCs/>
    </w:rPr>
  </w:style>
  <w:style w:type="character" w:customStyle="1" w:styleId="cosearchwithinterm4">
    <w:name w:val="co_searchwithinterm4"/>
    <w:basedOn w:val="DefaultParagraphFont"/>
    <w:rsid w:val="00137A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next.westlaw.com/Link/Document/FullText?findType=Y&amp;serNum=1988061932&amp;pubNum=735&amp;originationContext=document&amp;transitionType=DocumentItem&amp;contextData=(sc.DocLink)" TargetMode="External"/><Relationship Id="rId3" Type="http://schemas.openxmlformats.org/officeDocument/2006/relationships/settings" Target="settings.xml"/><Relationship Id="rId7" Type="http://schemas.openxmlformats.org/officeDocument/2006/relationships/hyperlink" Target="https://a.next.westlaw.com/Link/Document/FullText?findType=Y&amp;serNum=1996135723&amp;pubNum=735&amp;fi=co_pp_sp_735_224&amp;originationContext=document&amp;transitionType=DocumentItem&amp;contextData=(sc.Doc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opinion.dot</Template>
  <TotalTime>1</TotalTime>
  <Pages>3</Pages>
  <Words>589</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4DCA</Company>
  <LinksUpToDate>false</LinksUpToDate>
  <CharactersWithSpaces>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COURT OF APPEAL OF THE STATE OF FLORIDA</dc:title>
  <dc:subject/>
  <cp:keywords/>
  <dc:description/>
  <cp:lastPrinted>2005-01-25T17:46:00Z</cp:lastPrinted>
  <dcterms:created xsi:type="dcterms:W3CDTF">2014-09-08T14:10:00Z</dcterms:created>
  <dcterms:modified xsi:type="dcterms:W3CDTF">2014-09-08T14:10:00Z</dcterms:modified>
</cp:coreProperties>
</file>