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6AD" w:rsidRDefault="00DD56AD" w:rsidP="00311D81">
      <w:pPr>
        <w:jc w:val="center"/>
        <w:rPr>
          <w:smallCaps/>
          <w:sz w:val="28"/>
          <w:szCs w:val="28"/>
        </w:rPr>
      </w:pPr>
      <w:bookmarkStart w:id="0" w:name="_GoBack"/>
      <w:bookmarkEnd w:id="0"/>
      <w:r>
        <w:rPr>
          <w:smallCaps/>
          <w:sz w:val="28"/>
          <w:szCs w:val="28"/>
        </w:rPr>
        <w:t>District Court Of Appeal Of The State Of Florida</w:t>
      </w:r>
    </w:p>
    <w:p w:rsidR="00DD56AD" w:rsidRDefault="00DD56AD" w:rsidP="00311D81">
      <w:pPr>
        <w:jc w:val="center"/>
        <w:rPr>
          <w:smallCaps/>
        </w:rPr>
      </w:pPr>
      <w:r>
        <w:rPr>
          <w:smallCaps/>
        </w:rPr>
        <w:t>Fourth District</w:t>
      </w:r>
    </w:p>
    <w:p w:rsidR="00DD56AD" w:rsidRDefault="00610540" w:rsidP="00311D81">
      <w:pPr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July</w:t>
      </w:r>
      <w:r w:rsidR="00DD56AD">
        <w:rPr>
          <w:i/>
          <w:iCs/>
          <w:sz w:val="22"/>
          <w:szCs w:val="22"/>
        </w:rPr>
        <w:t xml:space="preserve"> Term </w:t>
      </w:r>
      <w:r>
        <w:rPr>
          <w:i/>
          <w:iCs/>
          <w:sz w:val="22"/>
          <w:szCs w:val="22"/>
        </w:rPr>
        <w:t>2014</w:t>
      </w:r>
    </w:p>
    <w:p w:rsidR="00DD56AD" w:rsidRDefault="00DD56AD" w:rsidP="00311D81">
      <w:pPr>
        <w:jc w:val="center"/>
      </w:pPr>
    </w:p>
    <w:p w:rsidR="00DD56AD" w:rsidRDefault="00610540" w:rsidP="00311D81">
      <w:pPr>
        <w:jc w:val="center"/>
        <w:rPr>
          <w:b/>
        </w:rPr>
      </w:pPr>
      <w:r>
        <w:rPr>
          <w:b/>
        </w:rPr>
        <w:t>CITY OF FORT LAUDERDALE</w:t>
      </w:r>
      <w:r w:rsidR="00DD56AD">
        <w:rPr>
          <w:b/>
        </w:rPr>
        <w:t>,</w:t>
      </w:r>
    </w:p>
    <w:p w:rsidR="00DD56AD" w:rsidRDefault="00DD56AD" w:rsidP="00311D81">
      <w:pPr>
        <w:jc w:val="center"/>
      </w:pPr>
      <w:r>
        <w:t>Appellant,</w:t>
      </w:r>
    </w:p>
    <w:p w:rsidR="00DD56AD" w:rsidRDefault="00DD56AD" w:rsidP="00311D81">
      <w:pPr>
        <w:jc w:val="center"/>
      </w:pPr>
    </w:p>
    <w:p w:rsidR="00DD56AD" w:rsidRDefault="00DD56AD" w:rsidP="00311D81">
      <w:pPr>
        <w:jc w:val="center"/>
      </w:pPr>
      <w:r>
        <w:t>v.</w:t>
      </w:r>
    </w:p>
    <w:p w:rsidR="00DD56AD" w:rsidRDefault="00DD56AD" w:rsidP="00311D81">
      <w:pPr>
        <w:jc w:val="center"/>
      </w:pPr>
    </w:p>
    <w:p w:rsidR="00DD56AD" w:rsidRDefault="00610540" w:rsidP="00311D81">
      <w:pPr>
        <w:jc w:val="center"/>
        <w:rPr>
          <w:b/>
        </w:rPr>
      </w:pPr>
      <w:r>
        <w:rPr>
          <w:b/>
        </w:rPr>
        <w:t>JUNE DHAR</w:t>
      </w:r>
      <w:r w:rsidR="00DD56AD">
        <w:rPr>
          <w:b/>
        </w:rPr>
        <w:t>,</w:t>
      </w:r>
    </w:p>
    <w:p w:rsidR="00DD56AD" w:rsidRDefault="00DD56AD" w:rsidP="00311D81">
      <w:pPr>
        <w:jc w:val="center"/>
      </w:pPr>
      <w:r w:rsidRPr="00D8042F">
        <w:t>Appellee</w:t>
      </w:r>
      <w:r>
        <w:t>.</w:t>
      </w:r>
    </w:p>
    <w:p w:rsidR="00DD56AD" w:rsidRDefault="00DD56AD" w:rsidP="00311D81">
      <w:pPr>
        <w:jc w:val="center"/>
      </w:pPr>
    </w:p>
    <w:p w:rsidR="00DD56AD" w:rsidRDefault="00DD56AD" w:rsidP="00311D81">
      <w:pPr>
        <w:jc w:val="center"/>
      </w:pPr>
      <w:r>
        <w:t>No. 4D</w:t>
      </w:r>
      <w:r w:rsidR="00610540">
        <w:t>13</w:t>
      </w:r>
      <w:r w:rsidR="00862716">
        <w:t>-</w:t>
      </w:r>
      <w:r w:rsidR="00610540">
        <w:t>1187</w:t>
      </w:r>
    </w:p>
    <w:p w:rsidR="00DD56AD" w:rsidRDefault="00DD56AD" w:rsidP="00311D81">
      <w:pPr>
        <w:jc w:val="center"/>
      </w:pPr>
    </w:p>
    <w:p w:rsidR="00DD56AD" w:rsidRDefault="00DD56AD" w:rsidP="00311D81">
      <w:pPr>
        <w:jc w:val="center"/>
      </w:pPr>
      <w:r>
        <w:t>[</w:t>
      </w:r>
      <w:r w:rsidR="005A6858">
        <w:t>October 22, 2014</w:t>
      </w:r>
      <w:r>
        <w:t>]</w:t>
      </w:r>
    </w:p>
    <w:p w:rsidR="00DD56AD" w:rsidRDefault="00DD56AD" w:rsidP="00311D81">
      <w:pPr>
        <w:jc w:val="center"/>
      </w:pPr>
    </w:p>
    <w:p w:rsidR="0057259A" w:rsidRPr="00E2352A" w:rsidRDefault="0057259A" w:rsidP="00311D81">
      <w:pPr>
        <w:ind w:firstLine="360"/>
        <w:jc w:val="both"/>
      </w:pPr>
      <w:bookmarkStart w:id="1" w:name="percuriam"/>
      <w:bookmarkEnd w:id="1"/>
      <w:r w:rsidRPr="00E2352A">
        <w:t xml:space="preserve">Appeal from the </w:t>
      </w:r>
      <w:r w:rsidR="00831364">
        <w:t>County</w:t>
      </w:r>
      <w:r w:rsidRPr="00E2352A">
        <w:t xml:space="preserve"> Court for the </w:t>
      </w:r>
      <w:r w:rsidR="00610540">
        <w:t>Seventeenth Judicial Circuit, Broward County</w:t>
      </w:r>
      <w:r w:rsidRPr="00E2352A">
        <w:t xml:space="preserve">; </w:t>
      </w:r>
      <w:r w:rsidR="00610540">
        <w:t>Steven P. Deluca</w:t>
      </w:r>
      <w:r w:rsidRPr="00E2352A">
        <w:t xml:space="preserve">, Judge; L.T. Case No. </w:t>
      </w:r>
      <w:r w:rsidR="00610540">
        <w:t>12022175</w:t>
      </w:r>
      <w:r w:rsidR="00E93775">
        <w:t xml:space="preserve"> </w:t>
      </w:r>
      <w:r w:rsidR="00610540">
        <w:t>T120A</w:t>
      </w:r>
      <w:r w:rsidRPr="00E2352A">
        <w:t>.</w:t>
      </w:r>
    </w:p>
    <w:p w:rsidR="0057259A" w:rsidRPr="00E2352A" w:rsidRDefault="0057259A" w:rsidP="00311D81">
      <w:pPr>
        <w:ind w:firstLine="360"/>
        <w:jc w:val="both"/>
      </w:pPr>
    </w:p>
    <w:p w:rsidR="0057259A" w:rsidRPr="00E2352A" w:rsidRDefault="00610540" w:rsidP="00311D81">
      <w:pPr>
        <w:ind w:firstLine="360"/>
        <w:jc w:val="both"/>
      </w:pPr>
      <w:r>
        <w:t>Cynthia A. Everett, City Attorney, and Bradley H. Weissman, Assistant City Attorney, Fort Lauderdale, for appellant.</w:t>
      </w:r>
    </w:p>
    <w:p w:rsidR="0057259A" w:rsidRPr="00E2352A" w:rsidRDefault="0057259A" w:rsidP="00311D81">
      <w:pPr>
        <w:ind w:firstLine="360"/>
        <w:jc w:val="both"/>
      </w:pPr>
    </w:p>
    <w:p w:rsidR="0057259A" w:rsidRPr="00E2352A" w:rsidRDefault="00610540" w:rsidP="00311D81">
      <w:pPr>
        <w:ind w:firstLine="360"/>
        <w:jc w:val="both"/>
      </w:pPr>
      <w:r>
        <w:t>James T. Forman of Law Offices of James T. Forman, P.A., Fort Lauderdale, for appellee.</w:t>
      </w:r>
    </w:p>
    <w:p w:rsidR="0057259A" w:rsidRDefault="0057259A" w:rsidP="00311D81">
      <w:pPr>
        <w:ind w:firstLine="360"/>
        <w:jc w:val="both"/>
      </w:pPr>
    </w:p>
    <w:p w:rsidR="00DD56AD" w:rsidRDefault="003C62A3" w:rsidP="00311D81">
      <w:pPr>
        <w:rPr>
          <w:smallCaps/>
        </w:rPr>
      </w:pPr>
      <w:r w:rsidRPr="003C62A3">
        <w:rPr>
          <w:smallCaps/>
        </w:rPr>
        <w:t>Per Curiam</w:t>
      </w:r>
      <w:r w:rsidR="00E93775">
        <w:rPr>
          <w:smallCaps/>
        </w:rPr>
        <w:t>.</w:t>
      </w:r>
    </w:p>
    <w:p w:rsidR="00371E91" w:rsidRPr="00371E91" w:rsidRDefault="00371E91" w:rsidP="00311D81">
      <w:pPr>
        <w:jc w:val="both"/>
      </w:pPr>
    </w:p>
    <w:p w:rsidR="00311D81" w:rsidRPr="00311D81" w:rsidRDefault="00311D81" w:rsidP="00311D81">
      <w:pPr>
        <w:ind w:firstLine="360"/>
        <w:jc w:val="both"/>
      </w:pPr>
      <w:r w:rsidRPr="00311D81">
        <w:t>The City of Fort Lauderdale (the “City”) appeals a final order from the county court dismissing a traffic citation on grounds that section 316.0083(1)(d)3</w:t>
      </w:r>
      <w:r>
        <w:t xml:space="preserve">., </w:t>
      </w:r>
      <w:r w:rsidRPr="00311D81">
        <w:t>Florida Statute</w:t>
      </w:r>
      <w:r>
        <w:t>s</w:t>
      </w:r>
      <w:r w:rsidRPr="00311D81">
        <w:t xml:space="preserve"> (2012)</w:t>
      </w:r>
      <w:r>
        <w:t>,</w:t>
      </w:r>
      <w:r w:rsidRPr="00311D81">
        <w:t xml:space="preserve"> of the Mark Wandall Traffic Safety Act violated Defendant June Dhar’s equal protection and due process rights under the Constitution.  We agree </w:t>
      </w:r>
      <w:r w:rsidR="005A6858">
        <w:t xml:space="preserve">with the county court </w:t>
      </w:r>
      <w:r w:rsidRPr="00311D81">
        <w:t>and affirm.</w:t>
      </w:r>
    </w:p>
    <w:p w:rsidR="00311D81" w:rsidRPr="00311D81" w:rsidRDefault="00311D81" w:rsidP="00311D81">
      <w:pPr>
        <w:ind w:firstLine="360"/>
        <w:jc w:val="both"/>
      </w:pPr>
    </w:p>
    <w:p w:rsidR="00311D81" w:rsidRPr="00311D81" w:rsidRDefault="00311D81" w:rsidP="00311D81">
      <w:pPr>
        <w:ind w:firstLine="360"/>
        <w:jc w:val="both"/>
      </w:pPr>
      <w:r w:rsidRPr="00311D81">
        <w:t>A vehicle registered to Dollar Rent A Car Systems, Inc. (“Dollar”) was detected by an automated traffic camera running a red light, and after review of the violation</w:t>
      </w:r>
      <w:r w:rsidR="005A6858">
        <w:t>,</w:t>
      </w:r>
      <w:r w:rsidRPr="00311D81">
        <w:t xml:space="preserve"> Dollar </w:t>
      </w:r>
      <w:r w:rsidR="00DC005C">
        <w:t xml:space="preserve">was sent </w:t>
      </w:r>
      <w:r w:rsidRPr="00311D81">
        <w:t>a notice of violation alleging that the described vehicle violated sections 316.074(1</w:t>
      </w:r>
      <w:r>
        <w:t>)</w:t>
      </w:r>
      <w:r w:rsidRPr="00311D81">
        <w:t xml:space="preserve"> and 316.075(1)(c)1</w:t>
      </w:r>
      <w:r>
        <w:t>.</w:t>
      </w:r>
      <w:r w:rsidRPr="00311D81">
        <w:t xml:space="preserve"> of the Florida Statutes.</w:t>
      </w:r>
      <w:r>
        <w:t xml:space="preserve"> </w:t>
      </w:r>
      <w:r w:rsidRPr="00311D81">
        <w:t xml:space="preserve"> </w:t>
      </w:r>
      <w:r w:rsidR="00DC005C">
        <w:t xml:space="preserve">In response, </w:t>
      </w:r>
      <w:r w:rsidRPr="00311D81">
        <w:t xml:space="preserve">Dollar sent an affidavit identifying Defendant as the person having care, custody, or control of the vehicle at the time of the violation.  </w:t>
      </w:r>
      <w:r w:rsidR="00DC005C">
        <w:t>Thereafter, Defendant was</w:t>
      </w:r>
      <w:r w:rsidRPr="00311D81">
        <w:t xml:space="preserve"> issued a unifo</w:t>
      </w:r>
      <w:r w:rsidR="00DC005C">
        <w:t>rm traffic citation</w:t>
      </w:r>
      <w:r w:rsidRPr="00311D81">
        <w:t>.</w:t>
      </w:r>
    </w:p>
    <w:p w:rsidR="00311D81" w:rsidRPr="00311D81" w:rsidRDefault="00311D81" w:rsidP="00311D81">
      <w:pPr>
        <w:ind w:firstLine="360"/>
        <w:jc w:val="both"/>
      </w:pPr>
    </w:p>
    <w:p w:rsidR="00311D81" w:rsidRPr="00311D81" w:rsidRDefault="00311D81" w:rsidP="00311D81">
      <w:pPr>
        <w:ind w:firstLine="360"/>
        <w:jc w:val="both"/>
      </w:pPr>
      <w:r w:rsidRPr="00311D81">
        <w:lastRenderedPageBreak/>
        <w:t>Defendant filed a motion to dismiss</w:t>
      </w:r>
      <w:r w:rsidR="005A6858">
        <w:t>,</w:t>
      </w:r>
      <w:r w:rsidR="002E03A3">
        <w:t xml:space="preserve"> asserting</w:t>
      </w:r>
      <w:r w:rsidRPr="00311D81">
        <w:t xml:space="preserve"> that as a short-t</w:t>
      </w:r>
      <w:r w:rsidR="002E03A3">
        <w:t>erm renter of the motor vehicle</w:t>
      </w:r>
      <w:r w:rsidR="005A6858">
        <w:t>,</w:t>
      </w:r>
      <w:r w:rsidRPr="00311D81">
        <w:t xml:space="preserve"> she was treated unequally as compared to a </w:t>
      </w:r>
      <w:r w:rsidR="008B1BBB">
        <w:t xml:space="preserve">vehicle’s </w:t>
      </w:r>
      <w:r w:rsidRPr="00311D81">
        <w:t>registered owner or lessee</w:t>
      </w:r>
      <w:r w:rsidR="002E03A3">
        <w:t xml:space="preserve"> because</w:t>
      </w:r>
      <w:r w:rsidRPr="00311D81">
        <w:t xml:space="preserve"> she was not initially issued a notice of violation under section 316.0083(1)(b)l.a.</w:t>
      </w:r>
      <w:r w:rsidR="002E03A3">
        <w:t>,</w:t>
      </w:r>
      <w:r w:rsidRPr="00311D81">
        <w:t xml:space="preserve"> Florida Statutes</w:t>
      </w:r>
      <w:r w:rsidR="002E03A3">
        <w:t xml:space="preserve"> (2012)</w:t>
      </w:r>
      <w:r w:rsidRPr="00311D81">
        <w:t>, and therefore could not avoid the payment of added court costs by simply paying the statutory penalty</w:t>
      </w:r>
      <w:r>
        <w:t xml:space="preserve"> of $158.00.</w:t>
      </w:r>
      <w:r w:rsidR="007D5C60">
        <w:t xml:space="preserve">  The trial court agreed and</w:t>
      </w:r>
      <w:r w:rsidR="00960964">
        <w:t xml:space="preserve"> granted the Defendant’s motion.</w:t>
      </w:r>
    </w:p>
    <w:p w:rsidR="00311D81" w:rsidRPr="00311D81" w:rsidRDefault="00311D81" w:rsidP="00311D81">
      <w:pPr>
        <w:ind w:firstLine="360"/>
        <w:jc w:val="both"/>
      </w:pPr>
    </w:p>
    <w:p w:rsidR="00311D81" w:rsidRPr="00311D81" w:rsidRDefault="00311D81" w:rsidP="00311D81">
      <w:pPr>
        <w:ind w:firstLine="360"/>
        <w:jc w:val="both"/>
      </w:pPr>
      <w:r w:rsidRPr="00311D81">
        <w:t xml:space="preserve">In finding that the Act violated Defendant’s equal protection and due process rights, the trial court </w:t>
      </w:r>
      <w:r w:rsidR="007D5C60">
        <w:t xml:space="preserve">correctly </w:t>
      </w:r>
      <w:r w:rsidRPr="00311D81">
        <w:t>noted that:</w:t>
      </w:r>
    </w:p>
    <w:p w:rsidR="00311D81" w:rsidRPr="00311D81" w:rsidRDefault="00311D81" w:rsidP="00311D81">
      <w:pPr>
        <w:ind w:firstLine="360"/>
        <w:jc w:val="both"/>
      </w:pPr>
    </w:p>
    <w:p w:rsidR="00311D81" w:rsidRPr="00311D81" w:rsidRDefault="00311D81" w:rsidP="00311D81">
      <w:pPr>
        <w:ind w:left="720" w:right="720" w:firstLine="360"/>
        <w:jc w:val="both"/>
      </w:pPr>
      <w:r w:rsidRPr="00311D81">
        <w:t xml:space="preserve">There are significant advantages to having a [notice of violation] issued in one’s name, as opposed to a [uniform traffic citation]. </w:t>
      </w:r>
      <w:r w:rsidR="00862716">
        <w:t xml:space="preserve"> </w:t>
      </w:r>
      <w:r w:rsidRPr="00311D81">
        <w:t>The cost of a [notice of violation] is $158.00, whereas the cost of a [uniform traffic citation] is $263.00. More importantly, the payment of a $158.00 [notice of violation] buys anonymity.</w:t>
      </w:r>
      <w:r w:rsidR="00862716">
        <w:t xml:space="preserve"> </w:t>
      </w:r>
      <w:r w:rsidRPr="00311D81">
        <w:t xml:space="preserve"> If the [notice of violation] is paid timely, there will be no record of the infraction on one’s driving record.</w:t>
      </w:r>
      <w:r w:rsidR="00864C08">
        <w:t>  </w:t>
      </w:r>
      <w:r w:rsidRPr="00311D81">
        <w:t>Consequently, once a [uniform traffic citation] is issued, one’s driving record will be permanently tarnished, unless the [uniform traffic citation] is dismissed in court. This distinct difference is to the detriment of [Defendant]; the option of paying the $158.00 [notice of violation] does not exist.</w:t>
      </w:r>
    </w:p>
    <w:p w:rsidR="00311D81" w:rsidRPr="00311D81" w:rsidRDefault="00311D81" w:rsidP="00311D81">
      <w:pPr>
        <w:ind w:firstLine="360"/>
        <w:jc w:val="both"/>
      </w:pPr>
    </w:p>
    <w:p w:rsidR="00311D81" w:rsidRDefault="00311D81" w:rsidP="00311D81">
      <w:pPr>
        <w:ind w:firstLine="360"/>
        <w:jc w:val="both"/>
      </w:pPr>
      <w:r w:rsidRPr="00311D81">
        <w:t xml:space="preserve">We find the City’s attempt to justify the disparate treatment given to short-term renters to be wholly unpersuasive.  Whether a person owns a vehicle, leases a vehicle, or enters into a short-term rental agreement, the circumstances surrounding the infraction remain the same. </w:t>
      </w:r>
      <w:r>
        <w:t xml:space="preserve"> </w:t>
      </w:r>
      <w:r w:rsidRPr="00311D81">
        <w:t xml:space="preserve">The activity that is being addressed (either poor driving, or ensuring that people are responsible when loaning their vehicle to others) is the same. </w:t>
      </w:r>
      <w:r>
        <w:t xml:space="preserve"> </w:t>
      </w:r>
      <w:r w:rsidRPr="00311D81">
        <w:t xml:space="preserve">Therefore, short-term automobile renters are similarly situated to registered owners and lessees, and no rational basis </w:t>
      </w:r>
      <w:r w:rsidR="008B1BBB">
        <w:t xml:space="preserve">exists </w:t>
      </w:r>
      <w:r w:rsidRPr="00311D81">
        <w:t xml:space="preserve">for the unequal treatment given to Defendant by the City in </w:t>
      </w:r>
      <w:r w:rsidR="008B1BBB">
        <w:t xml:space="preserve">applying </w:t>
      </w:r>
      <w:r w:rsidRPr="00311D81">
        <w:t xml:space="preserve">this statute.  </w:t>
      </w:r>
      <w:r w:rsidRPr="00311D81">
        <w:rPr>
          <w:i/>
        </w:rPr>
        <w:t>Cf</w:t>
      </w:r>
      <w:r w:rsidRPr="00311D81">
        <w:t xml:space="preserve">. </w:t>
      </w:r>
      <w:r w:rsidRPr="00311D81">
        <w:rPr>
          <w:i/>
        </w:rPr>
        <w:t>City of Fort Lauderdale v. Gonzalez</w:t>
      </w:r>
      <w:r w:rsidRPr="00311D81">
        <w:t>, 134 So. 3d 1119, 1120 (Fla. 4th DCA 2014</w:t>
      </w:r>
      <w:r>
        <w:t>)</w:t>
      </w:r>
      <w:r w:rsidRPr="00311D81">
        <w:t xml:space="preserve"> (holding that </w:t>
      </w:r>
      <w:r>
        <w:t>“section 316.0083(1)(c)</w:t>
      </w:r>
      <w:r w:rsidRPr="00311D81">
        <w:t xml:space="preserve">1.c, </w:t>
      </w:r>
      <w:r>
        <w:t>Florida Statutes</w:t>
      </w:r>
      <w:r w:rsidRPr="00311D81">
        <w:t xml:space="preserve"> (2011)</w:t>
      </w:r>
      <w:r>
        <w:t>,</w:t>
      </w:r>
      <w:r w:rsidRPr="00311D81">
        <w:t xml:space="preserve"> did not violate equal protection or due process by providing that, in the case of a jointly owned vehicle, the traffic citation shall be mailed only to the first name appearing on the registration,” because “the statute’s distinction between a vehicle’s first listed owner and its subsequent owners is rationally related to the state’s legitimate interest in administrative efficiency.”)</w:t>
      </w:r>
      <w:r>
        <w:t>.</w:t>
      </w:r>
    </w:p>
    <w:p w:rsidR="00311D81" w:rsidRPr="00311D81" w:rsidRDefault="00311D81" w:rsidP="00311D81">
      <w:pPr>
        <w:ind w:firstLine="360"/>
        <w:jc w:val="both"/>
      </w:pPr>
    </w:p>
    <w:p w:rsidR="00311D81" w:rsidRPr="00311D81" w:rsidRDefault="008B1BBB" w:rsidP="00311D81">
      <w:pPr>
        <w:ind w:firstLine="360"/>
        <w:jc w:val="both"/>
      </w:pPr>
      <w:r>
        <w:lastRenderedPageBreak/>
        <w:t xml:space="preserve">We </w:t>
      </w:r>
      <w:r w:rsidR="00311D81" w:rsidRPr="00311D81">
        <w:t>note that section 316.0083(1)(d)3</w:t>
      </w:r>
      <w:r w:rsidR="00311D81">
        <w:t>.</w:t>
      </w:r>
      <w:r w:rsidR="00311D81" w:rsidRPr="00311D81">
        <w:t xml:space="preserve"> was amended by the legislature, effective July 2, 2013, and now allows all individuals charged with committing a red light camera violation to simply pay $158.00 through the issuance of a notice of violation.</w:t>
      </w:r>
      <w:r w:rsidR="00311D81">
        <w:t xml:space="preserve"> </w:t>
      </w:r>
      <w:r w:rsidR="00311D81" w:rsidRPr="00311D81">
        <w:t xml:space="preserve"> We agree with the trial court that the legislature’s initial failure to address the situation of short-term renters in the stat</w:t>
      </w:r>
      <w:r>
        <w:t>ute was likely a mere oversight</w:t>
      </w:r>
      <w:r w:rsidR="00311D81" w:rsidRPr="00311D81">
        <w:t xml:space="preserve"> </w:t>
      </w:r>
      <w:r>
        <w:t>which</w:t>
      </w:r>
      <w:r w:rsidR="00311D81" w:rsidRPr="00311D81">
        <w:t xml:space="preserve"> has now been corrected.  Such an oversight cannot serve as a rational basis upon which to validate the disparate treatment afforded the Defendant in this case.</w:t>
      </w:r>
    </w:p>
    <w:p w:rsidR="00311D81" w:rsidRPr="00311D81" w:rsidRDefault="00311D81" w:rsidP="00311D81">
      <w:pPr>
        <w:ind w:firstLine="360"/>
        <w:jc w:val="both"/>
      </w:pPr>
    </w:p>
    <w:p w:rsidR="00311D81" w:rsidRDefault="00311D81" w:rsidP="00311D81">
      <w:pPr>
        <w:ind w:firstLine="360"/>
        <w:jc w:val="both"/>
      </w:pPr>
      <w:r w:rsidRPr="00311D81">
        <w:t xml:space="preserve">In sum, the City failed to present any meritorious argument that supports treating short-term renters differently than registered owners and lessees under the pre-2013 version of the statute.  Accordingly, the </w:t>
      </w:r>
      <w:r w:rsidR="005A6858">
        <w:t>county</w:t>
      </w:r>
      <w:r w:rsidRPr="00311D81">
        <w:t xml:space="preserve"> court’s order granting Defendant’s motion to dismiss the traffic citation for violating Defendant’s equal protection and due process rights is affirmed.</w:t>
      </w:r>
    </w:p>
    <w:p w:rsidR="00311D81" w:rsidRPr="00311D81" w:rsidRDefault="00311D81" w:rsidP="00311D81">
      <w:pPr>
        <w:jc w:val="both"/>
      </w:pPr>
    </w:p>
    <w:p w:rsidR="00371E91" w:rsidRPr="00311D81" w:rsidRDefault="00311D81" w:rsidP="00311D81">
      <w:pPr>
        <w:ind w:firstLine="360"/>
        <w:jc w:val="both"/>
      </w:pPr>
      <w:r>
        <w:rPr>
          <w:i/>
        </w:rPr>
        <w:t>Affirmed.</w:t>
      </w:r>
    </w:p>
    <w:p w:rsidR="00E93775" w:rsidRDefault="00E93775" w:rsidP="00311D81">
      <w:pPr>
        <w:jc w:val="both"/>
      </w:pPr>
    </w:p>
    <w:p w:rsidR="00E93775" w:rsidRPr="00E93775" w:rsidRDefault="00E93775" w:rsidP="00311D81">
      <w:pPr>
        <w:jc w:val="both"/>
      </w:pPr>
      <w:r>
        <w:rPr>
          <w:smallCaps/>
        </w:rPr>
        <w:t xml:space="preserve">Stevenson, May </w:t>
      </w:r>
      <w:r>
        <w:t xml:space="preserve">and </w:t>
      </w:r>
      <w:r>
        <w:rPr>
          <w:smallCaps/>
        </w:rPr>
        <w:t xml:space="preserve">Klingensmith, </w:t>
      </w:r>
      <w:r>
        <w:t>JJ., concur.</w:t>
      </w:r>
    </w:p>
    <w:p w:rsidR="00DD56AD" w:rsidRDefault="00DD56AD" w:rsidP="00311D81">
      <w:pPr>
        <w:jc w:val="center"/>
      </w:pPr>
    </w:p>
    <w:p w:rsidR="00DD56AD" w:rsidRDefault="00DD56AD" w:rsidP="00311D81">
      <w:pPr>
        <w:jc w:val="center"/>
        <w:rPr>
          <w:b/>
        </w:rPr>
      </w:pPr>
      <w:r>
        <w:rPr>
          <w:b/>
        </w:rPr>
        <w:t>*            *            *</w:t>
      </w:r>
    </w:p>
    <w:p w:rsidR="00DD56AD" w:rsidRPr="003D77C5" w:rsidRDefault="00DD56AD" w:rsidP="00311D81">
      <w:pPr>
        <w:jc w:val="center"/>
      </w:pPr>
    </w:p>
    <w:p w:rsidR="00DD56AD" w:rsidRDefault="00DD56AD" w:rsidP="00311D81">
      <w:pPr>
        <w:ind w:firstLine="360"/>
        <w:jc w:val="both"/>
        <w:rPr>
          <w:i/>
        </w:rPr>
      </w:pPr>
      <w:r>
        <w:rPr>
          <w:b/>
          <w:i/>
        </w:rPr>
        <w:t>Not final until disposition of timely filed motion for rehearing.</w:t>
      </w:r>
    </w:p>
    <w:sectPr w:rsidR="00DD56AD">
      <w:footerReference w:type="default" r:id="rId7"/>
      <w:pgSz w:w="12240" w:h="15840" w:code="1"/>
      <w:pgMar w:top="1800" w:right="1800" w:bottom="1584" w:left="1800" w:header="1440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540" w:rsidRDefault="00610540">
      <w:r>
        <w:separator/>
      </w:r>
    </w:p>
  </w:endnote>
  <w:endnote w:type="continuationSeparator" w:id="0">
    <w:p w:rsidR="00610540" w:rsidRDefault="00610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6F5" w:rsidRDefault="00AC06F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67925">
      <w:rPr>
        <w:noProof/>
      </w:rPr>
      <w:t>3</w:t>
    </w:r>
    <w:r>
      <w:fldChar w:fldCharType="end"/>
    </w:r>
  </w:p>
  <w:p w:rsidR="00AC06F5" w:rsidRDefault="00AC06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540" w:rsidRDefault="00610540">
      <w:r>
        <w:separator/>
      </w:r>
    </w:p>
  </w:footnote>
  <w:footnote w:type="continuationSeparator" w:id="0">
    <w:p w:rsidR="00610540" w:rsidRDefault="006105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360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0540"/>
    <w:rsid w:val="002E03A3"/>
    <w:rsid w:val="00311D81"/>
    <w:rsid w:val="00367925"/>
    <w:rsid w:val="00371E91"/>
    <w:rsid w:val="003C62A3"/>
    <w:rsid w:val="0057259A"/>
    <w:rsid w:val="005A6858"/>
    <w:rsid w:val="00610540"/>
    <w:rsid w:val="00624C79"/>
    <w:rsid w:val="006801DB"/>
    <w:rsid w:val="007D5C60"/>
    <w:rsid w:val="00831364"/>
    <w:rsid w:val="00862716"/>
    <w:rsid w:val="00864C08"/>
    <w:rsid w:val="008B1BBB"/>
    <w:rsid w:val="00960964"/>
    <w:rsid w:val="00AC06F5"/>
    <w:rsid w:val="00BD5AE2"/>
    <w:rsid w:val="00C26954"/>
    <w:rsid w:val="00C56003"/>
    <w:rsid w:val="00DC005C"/>
    <w:rsid w:val="00DD56AD"/>
    <w:rsid w:val="00E9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7B8855-B8E9-4010-B9B1-00818B119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Bookman Old Style" w:hAnsi="Bookman Old Style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talic">
    <w:name w:val="Italic"/>
    <w:rPr>
      <w:i/>
      <w:iCs/>
    </w:rPr>
  </w:style>
  <w:style w:type="paragraph" w:styleId="NormalWeb">
    <w:name w:val="Normal (Web)"/>
    <w:basedOn w:val="Normal"/>
    <w:link w:val="NormalWebChar"/>
  </w:style>
  <w:style w:type="paragraph" w:customStyle="1" w:styleId="Doubleindent">
    <w:name w:val="Double indent"/>
    <w:basedOn w:val="Normal"/>
    <w:link w:val="DoubleindentCharChar"/>
    <w:pPr>
      <w:spacing w:before="100" w:beforeAutospacing="1" w:after="100" w:afterAutospacing="1"/>
      <w:ind w:left="720" w:right="720"/>
    </w:pPr>
    <w:rPr>
      <w:rFonts w:cs="Arial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 w:val="20"/>
    </w:rPr>
  </w:style>
  <w:style w:type="character" w:customStyle="1" w:styleId="StyleBookmanOldStyleSmallcaps">
    <w:name w:val="Style Bookman Old Style Small caps"/>
    <w:rPr>
      <w:rFonts w:ascii="Bookman Old Style" w:hAnsi="Bookman Old Style"/>
      <w:smallCaps/>
      <w:sz w:val="24"/>
    </w:rPr>
  </w:style>
  <w:style w:type="character" w:customStyle="1" w:styleId="NormalWebChar">
    <w:name w:val="Normal (Web) Char"/>
    <w:link w:val="NormalWeb"/>
    <w:rPr>
      <w:rFonts w:ascii="Bookman Old Style" w:hAnsi="Bookman Old Style"/>
      <w:sz w:val="24"/>
      <w:szCs w:val="24"/>
      <w:lang w:val="en-US" w:eastAsia="en-US" w:bidi="ar-SA"/>
    </w:rPr>
  </w:style>
  <w:style w:type="character" w:customStyle="1" w:styleId="Bold">
    <w:name w:val="Bold"/>
    <w:rPr>
      <w:b/>
      <w:bCs/>
    </w:rPr>
  </w:style>
  <w:style w:type="character" w:customStyle="1" w:styleId="DoubleindentCharChar">
    <w:name w:val="Double indent Char Char"/>
    <w:link w:val="Doubleindent"/>
    <w:rPr>
      <w:rFonts w:ascii="Bookman Old Style" w:hAnsi="Bookman Old Style" w:cs="Arial"/>
      <w:sz w:val="24"/>
      <w:szCs w:val="24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AC06F5"/>
    <w:rPr>
      <w:rFonts w:ascii="Bookman Old Style" w:hAnsi="Bookman Old Style"/>
      <w:szCs w:val="24"/>
    </w:rPr>
  </w:style>
  <w:style w:type="paragraph" w:styleId="BalloonText">
    <w:name w:val="Balloon Text"/>
    <w:basedOn w:val="Normal"/>
    <w:link w:val="BalloonTextChar"/>
    <w:rsid w:val="008627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627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templates\COURT\templates\opin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BCDAB-D54E-41FF-BA28-43F11348A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opinion.dot</Template>
  <TotalTime>1</TotalTime>
  <Pages>3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DISTRICT COURT OF APPEAL OF THE STATE OF FLORIDA</vt:lpstr>
    </vt:vector>
  </TitlesOfParts>
  <Company>4DCA</Company>
  <LinksUpToDate>false</LinksUpToDate>
  <CharactersWithSpaces>5036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DISTRICT COURT OF APPEAL OF THE STATE OF FLORIDA</dc:title>
  <dc:subject/>
  <cp:keywords/>
  <dc:description/>
  <cp:lastPrinted>2014-10-09T18:14:00Z</cp:lastPrinted>
  <dcterms:created xsi:type="dcterms:W3CDTF">2014-10-20T14:40:00Z</dcterms:created>
  <dcterms:modified xsi:type="dcterms:W3CDTF">2014-10-20T14:40:00Z</dcterms:modified>
</cp:coreProperties>
</file>