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1328" w:rsidRPr="00CF4344" w:rsidRDefault="00FA1328" w:rsidP="00CF4344">
      <w:pPr>
        <w:suppressAutoHyphens/>
        <w:jc w:val="center"/>
        <w:rPr>
          <w:rFonts w:ascii="Arial" w:hAnsi="Arial" w:cs="Arial"/>
        </w:rPr>
      </w:pPr>
      <w:r w:rsidRPr="00CF4344">
        <w:rPr>
          <w:rFonts w:ascii="Arial" w:hAnsi="Arial" w:cs="Arial"/>
        </w:rPr>
        <w:t>NOT FINAL UNTIL TIME EXPIRES TO FILE REHEARING</w:t>
      </w:r>
    </w:p>
    <w:p w:rsidR="00FA1328" w:rsidRPr="00CF4344" w:rsidRDefault="00FA1328" w:rsidP="00CF4344">
      <w:pPr>
        <w:suppressAutoHyphens/>
        <w:spacing w:after="480"/>
        <w:jc w:val="center"/>
        <w:rPr>
          <w:rFonts w:ascii="Arial" w:hAnsi="Arial" w:cs="Arial"/>
        </w:rPr>
      </w:pPr>
      <w:r w:rsidRPr="00CF4344">
        <w:rPr>
          <w:rFonts w:ascii="Arial" w:hAnsi="Arial" w:cs="Arial"/>
        </w:rPr>
        <w:t>MOTION AND, IF FILED, DETERMINED</w:t>
      </w:r>
    </w:p>
    <w:p w:rsidR="00FA1328" w:rsidRPr="00CF4344" w:rsidRDefault="00FA1328" w:rsidP="00221006">
      <w:pPr>
        <w:tabs>
          <w:tab w:val="left" w:pos="4680"/>
        </w:tabs>
        <w:suppressAutoHyphens/>
        <w:spacing w:after="240"/>
        <w:ind w:firstLine="4680"/>
        <w:rPr>
          <w:rFonts w:ascii="Arial" w:hAnsi="Arial" w:cs="Arial"/>
        </w:rPr>
      </w:pPr>
      <w:r w:rsidRPr="00CF4344">
        <w:rPr>
          <w:rFonts w:ascii="Arial" w:hAnsi="Arial" w:cs="Arial"/>
        </w:rPr>
        <w:t>IN THE DISTRICT COURT OF APPEAL</w:t>
      </w:r>
    </w:p>
    <w:p w:rsidR="00FA1328" w:rsidRPr="00CF4344" w:rsidRDefault="00FA1328" w:rsidP="00221006">
      <w:pPr>
        <w:tabs>
          <w:tab w:val="left" w:pos="4680"/>
        </w:tabs>
        <w:suppressAutoHyphens/>
        <w:spacing w:after="240"/>
        <w:ind w:firstLine="4680"/>
        <w:rPr>
          <w:rFonts w:ascii="Arial" w:hAnsi="Arial" w:cs="Arial"/>
        </w:rPr>
      </w:pPr>
      <w:r w:rsidRPr="00CF4344">
        <w:rPr>
          <w:rFonts w:ascii="Arial" w:hAnsi="Arial" w:cs="Arial"/>
        </w:rPr>
        <w:t xml:space="preserve">OF </w:t>
      </w:r>
      <w:smartTag w:uri="urn:schemas-microsoft-com:office:smarttags" w:element="PostalCode">
        <w:smartTag w:uri="urn:schemas-microsoft-com:office:smarttags" w:element="State">
          <w:r w:rsidRPr="00CF4344">
            <w:rPr>
              <w:rFonts w:ascii="Arial" w:hAnsi="Arial" w:cs="Arial"/>
            </w:rPr>
            <w:t>FLORIDA</w:t>
          </w:r>
        </w:smartTag>
      </w:smartTag>
    </w:p>
    <w:p w:rsidR="00FA1328" w:rsidRPr="00CF4344" w:rsidRDefault="00FA1328" w:rsidP="00E44C37">
      <w:pPr>
        <w:tabs>
          <w:tab w:val="left" w:pos="1440"/>
          <w:tab w:val="left" w:pos="4680"/>
        </w:tabs>
        <w:suppressAutoHyphens/>
        <w:spacing w:after="480"/>
        <w:ind w:firstLine="4680"/>
        <w:rPr>
          <w:rFonts w:ascii="Arial" w:hAnsi="Arial" w:cs="Arial"/>
        </w:rPr>
      </w:pPr>
      <w:r w:rsidRPr="00CF4344">
        <w:rPr>
          <w:rFonts w:ascii="Arial" w:hAnsi="Arial" w:cs="Arial"/>
        </w:rPr>
        <w:t>SECOND DISTRICT</w:t>
      </w:r>
    </w:p>
    <w:p w:rsid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2245 VENETIAN COURT BUILDING 4,</w:t>
      </w:r>
      <w:r>
        <w:rPr>
          <w:rFonts w:ascii="Arial" w:hAnsi="Arial" w:cs="Arial"/>
        </w:rPr>
        <w:tab/>
        <w:t>)</w:t>
      </w:r>
    </w:p>
    <w:p w:rsidR="000C15DB" w:rsidRP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INC.</w:t>
      </w:r>
      <w:r>
        <w:rPr>
          <w:rFonts w:ascii="Arial" w:hAnsi="Arial" w:cs="Arial"/>
        </w:rPr>
        <w:t>,</w:t>
      </w:r>
      <w:r w:rsidRPr="000C15DB">
        <w:rPr>
          <w:rFonts w:ascii="Arial" w:hAnsi="Arial" w:cs="Arial"/>
        </w:rPr>
        <w:t xml:space="preserve"> and SAN MARINO PROPERTIES,</w:t>
      </w:r>
      <w:r w:rsidRPr="000C15DB">
        <w:rPr>
          <w:rFonts w:ascii="Arial" w:hAnsi="Arial" w:cs="Arial"/>
        </w:rPr>
        <w:tab/>
        <w:t>)</w:t>
      </w:r>
    </w:p>
    <w:p w:rsidR="000C15DB" w:rsidRPr="000C15DB" w:rsidRDefault="000C15DB" w:rsidP="000C15DB">
      <w:pPr>
        <w:tabs>
          <w:tab w:val="left" w:pos="1440"/>
          <w:tab w:val="left" w:pos="4680"/>
          <w:tab w:val="left" w:pos="6120"/>
        </w:tabs>
        <w:suppressAutoHyphens/>
        <w:rPr>
          <w:rFonts w:ascii="Arial" w:hAnsi="Arial" w:cs="Arial"/>
        </w:rPr>
      </w:pPr>
      <w:proofErr w:type="gramStart"/>
      <w:r w:rsidRPr="000C15DB">
        <w:rPr>
          <w:rFonts w:ascii="Arial" w:hAnsi="Arial" w:cs="Arial"/>
        </w:rPr>
        <w:t>LLC.,</w:t>
      </w:r>
      <w:proofErr w:type="gramEnd"/>
      <w:r w:rsidRPr="000C15DB">
        <w:rPr>
          <w:rFonts w:ascii="Arial" w:hAnsi="Arial" w:cs="Arial"/>
        </w:rPr>
        <w:tab/>
      </w:r>
      <w:r w:rsidRPr="000C15DB">
        <w:rPr>
          <w:rFonts w:ascii="Arial" w:hAnsi="Arial" w:cs="Arial"/>
        </w:rPr>
        <w:tab/>
        <w:t>)</w:t>
      </w:r>
      <w:r w:rsidRPr="000C15DB">
        <w:rPr>
          <w:rFonts w:ascii="Arial" w:hAnsi="Arial" w:cs="Arial"/>
        </w:rPr>
        <w:tab/>
      </w:r>
    </w:p>
    <w:p w:rsidR="000C15DB" w:rsidRPr="000C15DB" w:rsidRDefault="000C15DB" w:rsidP="000C15DB">
      <w:pPr>
        <w:tabs>
          <w:tab w:val="left" w:pos="1440"/>
          <w:tab w:val="left" w:pos="4680"/>
          <w:tab w:val="left" w:pos="6120"/>
        </w:tabs>
        <w:suppressAutoHyphens/>
        <w:rPr>
          <w:rFonts w:ascii="Arial" w:hAnsi="Arial" w:cs="Arial"/>
        </w:rPr>
      </w:pPr>
      <w:r>
        <w:rPr>
          <w:rFonts w:ascii="Arial" w:hAnsi="Arial" w:cs="Arial"/>
        </w:rPr>
        <w:tab/>
      </w:r>
      <w:r>
        <w:rPr>
          <w:rFonts w:ascii="Arial" w:hAnsi="Arial" w:cs="Arial"/>
        </w:rPr>
        <w:tab/>
      </w:r>
      <w:r w:rsidRPr="000C15DB">
        <w:rPr>
          <w:rFonts w:ascii="Arial" w:hAnsi="Arial" w:cs="Arial"/>
        </w:rPr>
        <w:t>)</w:t>
      </w:r>
    </w:p>
    <w:p w:rsidR="000C15DB" w:rsidRPr="000C15DB" w:rsidRDefault="000C15DB" w:rsidP="000C15DB">
      <w:pPr>
        <w:tabs>
          <w:tab w:val="left" w:pos="1440"/>
          <w:tab w:val="left" w:pos="4680"/>
          <w:tab w:val="left" w:pos="6120"/>
        </w:tabs>
        <w:suppressAutoHyphens/>
        <w:rPr>
          <w:rFonts w:ascii="Arial" w:hAnsi="Arial" w:cs="Arial"/>
        </w:rPr>
      </w:pPr>
      <w:r>
        <w:rPr>
          <w:rFonts w:ascii="Arial" w:hAnsi="Arial" w:cs="Arial"/>
        </w:rPr>
        <w:tab/>
      </w:r>
      <w:r w:rsidRPr="000C15DB">
        <w:rPr>
          <w:rFonts w:ascii="Arial" w:hAnsi="Arial" w:cs="Arial"/>
        </w:rPr>
        <w:t>Appellants,</w:t>
      </w:r>
      <w:r w:rsidRPr="000C15DB">
        <w:rPr>
          <w:rFonts w:ascii="Arial" w:hAnsi="Arial" w:cs="Arial"/>
        </w:rPr>
        <w:tab/>
        <w:t>)</w:t>
      </w:r>
    </w:p>
    <w:p w:rsidR="000C15DB" w:rsidRPr="000C15DB" w:rsidRDefault="000C15DB" w:rsidP="000C15DB">
      <w:pPr>
        <w:tabs>
          <w:tab w:val="left" w:pos="1440"/>
          <w:tab w:val="left" w:pos="4680"/>
          <w:tab w:val="left" w:pos="6120"/>
        </w:tabs>
        <w:suppressAutoHyphens/>
        <w:rPr>
          <w:rFonts w:ascii="Arial" w:hAnsi="Arial" w:cs="Arial"/>
        </w:rPr>
      </w:pPr>
      <w:r>
        <w:rPr>
          <w:rFonts w:ascii="Arial" w:hAnsi="Arial" w:cs="Arial"/>
        </w:rPr>
        <w:tab/>
      </w:r>
      <w:r>
        <w:rPr>
          <w:rFonts w:ascii="Arial" w:hAnsi="Arial" w:cs="Arial"/>
        </w:rPr>
        <w:tab/>
      </w:r>
      <w:r w:rsidRPr="000C15DB">
        <w:rPr>
          <w:rFonts w:ascii="Arial" w:hAnsi="Arial" w:cs="Arial"/>
        </w:rPr>
        <w:t>)</w:t>
      </w:r>
    </w:p>
    <w:p w:rsidR="000C15DB" w:rsidRP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v.</w:t>
      </w:r>
      <w:r w:rsidRPr="000C15DB">
        <w:rPr>
          <w:rFonts w:ascii="Arial" w:hAnsi="Arial" w:cs="Arial"/>
        </w:rPr>
        <w:tab/>
      </w:r>
      <w:r w:rsidRPr="000C15DB">
        <w:rPr>
          <w:rFonts w:ascii="Arial" w:hAnsi="Arial" w:cs="Arial"/>
        </w:rPr>
        <w:tab/>
        <w:t>)</w:t>
      </w:r>
      <w:r w:rsidRPr="000C15DB">
        <w:rPr>
          <w:rFonts w:ascii="Arial" w:hAnsi="Arial" w:cs="Arial"/>
        </w:rPr>
        <w:tab/>
        <w:t>Case No. 2D14-1208</w:t>
      </w:r>
    </w:p>
    <w:p w:rsidR="000C15DB" w:rsidRPr="000C15DB" w:rsidRDefault="000C15DB" w:rsidP="000C15DB">
      <w:pPr>
        <w:tabs>
          <w:tab w:val="left" w:pos="1440"/>
          <w:tab w:val="left" w:pos="4680"/>
          <w:tab w:val="left" w:pos="6120"/>
        </w:tabs>
        <w:suppressAutoHyphens/>
        <w:rPr>
          <w:rFonts w:ascii="Arial" w:hAnsi="Arial" w:cs="Arial"/>
        </w:rPr>
      </w:pPr>
      <w:r>
        <w:rPr>
          <w:rFonts w:ascii="Arial" w:hAnsi="Arial" w:cs="Arial"/>
        </w:rPr>
        <w:tab/>
      </w:r>
      <w:r>
        <w:rPr>
          <w:rFonts w:ascii="Arial" w:hAnsi="Arial" w:cs="Arial"/>
        </w:rPr>
        <w:tab/>
      </w:r>
      <w:r w:rsidRPr="000C15DB">
        <w:rPr>
          <w:rFonts w:ascii="Arial" w:hAnsi="Arial" w:cs="Arial"/>
        </w:rPr>
        <w:t>)</w:t>
      </w:r>
    </w:p>
    <w:p w:rsid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 xml:space="preserve">WILLIAM AND MARGARET </w:t>
      </w:r>
      <w:r>
        <w:rPr>
          <w:rFonts w:ascii="Arial" w:hAnsi="Arial" w:cs="Arial"/>
        </w:rPr>
        <w:t>HARRISON</w:t>
      </w:r>
      <w:r>
        <w:rPr>
          <w:rFonts w:ascii="Arial" w:hAnsi="Arial" w:cs="Arial"/>
        </w:rPr>
        <w:tab/>
        <w:t>)</w:t>
      </w:r>
    </w:p>
    <w:p w:rsidR="000C15DB" w:rsidRDefault="000C15DB" w:rsidP="000C15DB">
      <w:pPr>
        <w:tabs>
          <w:tab w:val="left" w:pos="1440"/>
          <w:tab w:val="left" w:pos="4680"/>
          <w:tab w:val="left" w:pos="6120"/>
        </w:tabs>
        <w:suppressAutoHyphens/>
        <w:rPr>
          <w:rFonts w:ascii="Arial" w:hAnsi="Arial" w:cs="Arial"/>
        </w:rPr>
      </w:pPr>
      <w:proofErr w:type="gramStart"/>
      <w:r w:rsidRPr="000C15DB">
        <w:rPr>
          <w:rFonts w:ascii="Arial" w:hAnsi="Arial" w:cs="Arial"/>
        </w:rPr>
        <w:t>as</w:t>
      </w:r>
      <w:proofErr w:type="gramEnd"/>
      <w:r w:rsidRPr="000C15DB">
        <w:rPr>
          <w:rFonts w:ascii="Arial" w:hAnsi="Arial" w:cs="Arial"/>
        </w:rPr>
        <w:t xml:space="preserve"> trustees of the Margaret Harrison Living</w:t>
      </w:r>
      <w:r>
        <w:rPr>
          <w:rFonts w:ascii="Arial" w:hAnsi="Arial" w:cs="Arial"/>
        </w:rPr>
        <w:tab/>
        <w:t>)</w:t>
      </w:r>
    </w:p>
    <w:p w:rsidR="000C15DB" w:rsidRP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Trust, BATEMAN AND MARTIN</w:t>
      </w:r>
      <w:r w:rsidRPr="000C15DB">
        <w:rPr>
          <w:rFonts w:ascii="Arial" w:hAnsi="Arial" w:cs="Arial"/>
        </w:rPr>
        <w:tab/>
        <w:t>)</w:t>
      </w:r>
    </w:p>
    <w:p w:rsidR="000C15DB" w:rsidRP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DEVELOPMENTS INC., a Florida</w:t>
      </w:r>
      <w:r w:rsidRPr="000C15DB">
        <w:rPr>
          <w:rFonts w:ascii="Arial" w:hAnsi="Arial" w:cs="Arial"/>
        </w:rPr>
        <w:tab/>
        <w:t>)</w:t>
      </w:r>
    </w:p>
    <w:p w:rsidR="000C15DB" w:rsidRPr="000C15DB" w:rsidRDefault="000C15DB" w:rsidP="000C15DB">
      <w:pPr>
        <w:tabs>
          <w:tab w:val="left" w:pos="1440"/>
          <w:tab w:val="left" w:pos="4680"/>
          <w:tab w:val="left" w:pos="6120"/>
        </w:tabs>
        <w:suppressAutoHyphens/>
        <w:rPr>
          <w:rFonts w:ascii="Arial" w:hAnsi="Arial" w:cs="Arial"/>
        </w:rPr>
      </w:pPr>
      <w:proofErr w:type="gramStart"/>
      <w:r w:rsidRPr="000C15DB">
        <w:rPr>
          <w:rFonts w:ascii="Arial" w:hAnsi="Arial" w:cs="Arial"/>
        </w:rPr>
        <w:t>corporation</w:t>
      </w:r>
      <w:proofErr w:type="gramEnd"/>
      <w:r w:rsidRPr="000C15DB">
        <w:rPr>
          <w:rFonts w:ascii="Arial" w:hAnsi="Arial" w:cs="Arial"/>
        </w:rPr>
        <w:t>; ARTHUR BATEMAN, an</w:t>
      </w:r>
      <w:r w:rsidRPr="000C15DB">
        <w:rPr>
          <w:rFonts w:ascii="Arial" w:hAnsi="Arial" w:cs="Arial"/>
        </w:rPr>
        <w:tab/>
        <w:t>)</w:t>
      </w:r>
    </w:p>
    <w:p w:rsidR="000C15DB" w:rsidRPr="000C15DB" w:rsidRDefault="000C15DB" w:rsidP="000C15DB">
      <w:pPr>
        <w:tabs>
          <w:tab w:val="left" w:pos="1440"/>
          <w:tab w:val="left" w:pos="4680"/>
          <w:tab w:val="left" w:pos="6120"/>
        </w:tabs>
        <w:suppressAutoHyphens/>
        <w:rPr>
          <w:rFonts w:ascii="Arial" w:hAnsi="Arial" w:cs="Arial"/>
        </w:rPr>
      </w:pPr>
      <w:proofErr w:type="gramStart"/>
      <w:r w:rsidRPr="000C15DB">
        <w:rPr>
          <w:rFonts w:ascii="Arial" w:hAnsi="Arial" w:cs="Arial"/>
        </w:rPr>
        <w:t>individual</w:t>
      </w:r>
      <w:proofErr w:type="gramEnd"/>
      <w:r w:rsidRPr="000C15DB">
        <w:rPr>
          <w:rFonts w:ascii="Arial" w:hAnsi="Arial" w:cs="Arial"/>
        </w:rPr>
        <w:t>, and DANIEL MARTIN, an</w:t>
      </w:r>
      <w:r w:rsidRPr="000C15DB">
        <w:rPr>
          <w:rFonts w:ascii="Arial" w:hAnsi="Arial" w:cs="Arial"/>
        </w:rPr>
        <w:tab/>
        <w:t>)</w:t>
      </w:r>
    </w:p>
    <w:p w:rsidR="000C15DB" w:rsidRPr="000C15DB" w:rsidRDefault="000C15DB" w:rsidP="000C15DB">
      <w:pPr>
        <w:tabs>
          <w:tab w:val="left" w:pos="1440"/>
          <w:tab w:val="left" w:pos="4680"/>
          <w:tab w:val="left" w:pos="6120"/>
        </w:tabs>
        <w:suppressAutoHyphens/>
        <w:rPr>
          <w:rFonts w:ascii="Arial" w:hAnsi="Arial" w:cs="Arial"/>
        </w:rPr>
      </w:pPr>
      <w:proofErr w:type="gramStart"/>
      <w:r w:rsidRPr="000C15DB">
        <w:rPr>
          <w:rFonts w:ascii="Arial" w:hAnsi="Arial" w:cs="Arial"/>
        </w:rPr>
        <w:t>individual</w:t>
      </w:r>
      <w:proofErr w:type="gramEnd"/>
      <w:r w:rsidRPr="000C15DB">
        <w:rPr>
          <w:rFonts w:ascii="Arial" w:hAnsi="Arial" w:cs="Arial"/>
        </w:rPr>
        <w:t>,</w:t>
      </w:r>
      <w:r w:rsidRPr="000C15DB">
        <w:rPr>
          <w:rFonts w:ascii="Arial" w:hAnsi="Arial" w:cs="Arial"/>
        </w:rPr>
        <w:tab/>
      </w:r>
      <w:r w:rsidRPr="000C15DB">
        <w:rPr>
          <w:rFonts w:ascii="Arial" w:hAnsi="Arial" w:cs="Arial"/>
        </w:rPr>
        <w:tab/>
        <w:t>)</w:t>
      </w:r>
    </w:p>
    <w:p w:rsidR="000C15DB" w:rsidRPr="000C15DB" w:rsidRDefault="000C15DB" w:rsidP="000C15DB">
      <w:pPr>
        <w:tabs>
          <w:tab w:val="left" w:pos="1440"/>
          <w:tab w:val="left" w:pos="4680"/>
          <w:tab w:val="left" w:pos="6120"/>
        </w:tabs>
        <w:suppressAutoHyphens/>
        <w:rPr>
          <w:rFonts w:ascii="Arial" w:hAnsi="Arial" w:cs="Arial"/>
        </w:rPr>
      </w:pPr>
      <w:r>
        <w:rPr>
          <w:rFonts w:ascii="Arial" w:hAnsi="Arial" w:cs="Arial"/>
        </w:rPr>
        <w:tab/>
      </w:r>
      <w:r>
        <w:rPr>
          <w:rFonts w:ascii="Arial" w:hAnsi="Arial" w:cs="Arial"/>
        </w:rPr>
        <w:tab/>
      </w:r>
      <w:r w:rsidRPr="000C15DB">
        <w:rPr>
          <w:rFonts w:ascii="Arial" w:hAnsi="Arial" w:cs="Arial"/>
        </w:rPr>
        <w:t>)</w:t>
      </w:r>
    </w:p>
    <w:p w:rsidR="000C15DB" w:rsidRPr="000C15DB" w:rsidRDefault="000C15DB" w:rsidP="000C15DB">
      <w:pPr>
        <w:tabs>
          <w:tab w:val="left" w:pos="1440"/>
          <w:tab w:val="left" w:pos="4680"/>
          <w:tab w:val="left" w:pos="6120"/>
        </w:tabs>
        <w:suppressAutoHyphens/>
        <w:rPr>
          <w:rFonts w:ascii="Arial" w:hAnsi="Arial" w:cs="Arial"/>
        </w:rPr>
      </w:pPr>
      <w:r>
        <w:rPr>
          <w:rFonts w:ascii="Arial" w:hAnsi="Arial" w:cs="Arial"/>
        </w:rPr>
        <w:tab/>
      </w:r>
      <w:r w:rsidRPr="000C15DB">
        <w:rPr>
          <w:rFonts w:ascii="Arial" w:hAnsi="Arial" w:cs="Arial"/>
        </w:rPr>
        <w:t>Appellees.</w:t>
      </w:r>
      <w:r w:rsidRPr="000C15DB">
        <w:rPr>
          <w:rFonts w:ascii="Arial" w:hAnsi="Arial" w:cs="Arial"/>
        </w:rPr>
        <w:tab/>
        <w:t>)</w:t>
      </w:r>
    </w:p>
    <w:p w:rsidR="000C15DB" w:rsidRDefault="000C15DB" w:rsidP="000C15DB">
      <w:pPr>
        <w:tabs>
          <w:tab w:val="left" w:pos="1440"/>
          <w:tab w:val="left" w:pos="4680"/>
          <w:tab w:val="left" w:pos="6120"/>
        </w:tabs>
        <w:suppressAutoHyphens/>
        <w:rPr>
          <w:rFonts w:ascii="Arial" w:hAnsi="Arial" w:cs="Arial"/>
        </w:rPr>
      </w:pPr>
      <w:r w:rsidRPr="000C15DB">
        <w:rPr>
          <w:rFonts w:ascii="Arial" w:hAnsi="Arial" w:cs="Arial"/>
          <w:u w:val="single"/>
        </w:rPr>
        <w:tab/>
      </w:r>
      <w:r w:rsidRPr="000C15DB">
        <w:rPr>
          <w:rFonts w:ascii="Arial" w:hAnsi="Arial" w:cs="Arial"/>
          <w:u w:val="single"/>
        </w:rPr>
        <w:tab/>
      </w:r>
      <w:r w:rsidRPr="000C15DB">
        <w:rPr>
          <w:rFonts w:ascii="Arial" w:hAnsi="Arial" w:cs="Arial"/>
        </w:rPr>
        <w:t>)</w:t>
      </w:r>
    </w:p>
    <w:p w:rsidR="000C15DB" w:rsidRDefault="000C15DB" w:rsidP="000C15DB">
      <w:pPr>
        <w:tabs>
          <w:tab w:val="left" w:pos="1440"/>
          <w:tab w:val="left" w:pos="4680"/>
          <w:tab w:val="left" w:pos="6120"/>
        </w:tabs>
        <w:suppressAutoHyphens/>
        <w:rPr>
          <w:rFonts w:ascii="Arial" w:hAnsi="Arial" w:cs="Arial"/>
        </w:rPr>
      </w:pPr>
    </w:p>
    <w:p w:rsidR="000C15DB" w:rsidRPr="000C15DB" w:rsidRDefault="000C15DB" w:rsidP="000C15DB">
      <w:pPr>
        <w:tabs>
          <w:tab w:val="left" w:pos="1440"/>
          <w:tab w:val="left" w:pos="4680"/>
          <w:tab w:val="left" w:pos="6120"/>
        </w:tabs>
        <w:suppressAutoHyphens/>
        <w:rPr>
          <w:rFonts w:ascii="Arial" w:hAnsi="Arial" w:cs="Arial"/>
        </w:rPr>
      </w:pPr>
      <w:r>
        <w:rPr>
          <w:rFonts w:ascii="Arial" w:hAnsi="Arial" w:cs="Arial"/>
        </w:rPr>
        <w:t>Opinion filed</w:t>
      </w:r>
      <w:r w:rsidR="00FE1D8F">
        <w:rPr>
          <w:rFonts w:ascii="Arial" w:hAnsi="Arial" w:cs="Arial"/>
        </w:rPr>
        <w:t xml:space="preserve"> </w:t>
      </w:r>
      <w:r w:rsidR="000A3B73">
        <w:rPr>
          <w:rFonts w:ascii="Arial" w:hAnsi="Arial" w:cs="Arial"/>
        </w:rPr>
        <w:t>October 24, 2014.</w:t>
      </w:r>
      <w:bookmarkStart w:id="0" w:name="_GoBack"/>
      <w:bookmarkEnd w:id="0"/>
    </w:p>
    <w:p w:rsidR="000C15DB" w:rsidRPr="000C15DB" w:rsidRDefault="000C15DB" w:rsidP="000C15DB">
      <w:pPr>
        <w:tabs>
          <w:tab w:val="left" w:pos="1440"/>
          <w:tab w:val="left" w:pos="4680"/>
          <w:tab w:val="left" w:pos="6120"/>
        </w:tabs>
        <w:suppressAutoHyphens/>
        <w:rPr>
          <w:rFonts w:ascii="Arial" w:hAnsi="Arial" w:cs="Arial"/>
        </w:rPr>
      </w:pPr>
    </w:p>
    <w:p w:rsidR="000C15DB" w:rsidRP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Appeal pursuant to Fla. R. App. P. 9.130</w:t>
      </w:r>
    </w:p>
    <w:p w:rsidR="000C15DB" w:rsidRPr="000C15DB" w:rsidRDefault="000C15DB" w:rsidP="000C15DB">
      <w:pPr>
        <w:tabs>
          <w:tab w:val="left" w:pos="1440"/>
          <w:tab w:val="left" w:pos="4680"/>
          <w:tab w:val="left" w:pos="6120"/>
        </w:tabs>
        <w:suppressAutoHyphens/>
        <w:rPr>
          <w:rFonts w:ascii="Arial" w:hAnsi="Arial" w:cs="Arial"/>
        </w:rPr>
      </w:pPr>
      <w:proofErr w:type="gramStart"/>
      <w:r w:rsidRPr="000C15DB">
        <w:rPr>
          <w:rFonts w:ascii="Arial" w:hAnsi="Arial" w:cs="Arial"/>
        </w:rPr>
        <w:t>from</w:t>
      </w:r>
      <w:proofErr w:type="gramEnd"/>
      <w:r w:rsidRPr="000C15DB">
        <w:rPr>
          <w:rFonts w:ascii="Arial" w:hAnsi="Arial" w:cs="Arial"/>
        </w:rPr>
        <w:t xml:space="preserve"> the Circuit Court for Collier County;</w:t>
      </w:r>
    </w:p>
    <w:p w:rsidR="000C15DB" w:rsidRP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 xml:space="preserve">Cynthia A. </w:t>
      </w:r>
      <w:proofErr w:type="spellStart"/>
      <w:r w:rsidRPr="000C15DB">
        <w:rPr>
          <w:rFonts w:ascii="Arial" w:hAnsi="Arial" w:cs="Arial"/>
        </w:rPr>
        <w:t>Pivacek</w:t>
      </w:r>
      <w:proofErr w:type="spellEnd"/>
      <w:r w:rsidRPr="000C15DB">
        <w:rPr>
          <w:rFonts w:ascii="Arial" w:hAnsi="Arial" w:cs="Arial"/>
        </w:rPr>
        <w:t>, Judge.</w:t>
      </w:r>
    </w:p>
    <w:p w:rsidR="000C15DB" w:rsidRPr="000C15DB" w:rsidRDefault="000C15DB" w:rsidP="000C15DB">
      <w:pPr>
        <w:tabs>
          <w:tab w:val="left" w:pos="1440"/>
          <w:tab w:val="left" w:pos="4680"/>
          <w:tab w:val="left" w:pos="6120"/>
        </w:tabs>
        <w:suppressAutoHyphens/>
        <w:rPr>
          <w:rFonts w:ascii="Arial" w:hAnsi="Arial" w:cs="Arial"/>
        </w:rPr>
      </w:pPr>
    </w:p>
    <w:p w:rsidR="000C15DB" w:rsidRP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 xml:space="preserve">Jon D. Parrish and </w:t>
      </w:r>
      <w:proofErr w:type="spellStart"/>
      <w:r w:rsidRPr="000C15DB">
        <w:rPr>
          <w:rFonts w:ascii="Arial" w:hAnsi="Arial" w:cs="Arial"/>
        </w:rPr>
        <w:t>Kirt</w:t>
      </w:r>
      <w:proofErr w:type="spellEnd"/>
      <w:r w:rsidRPr="000C15DB">
        <w:rPr>
          <w:rFonts w:ascii="Arial" w:hAnsi="Arial" w:cs="Arial"/>
        </w:rPr>
        <w:t xml:space="preserve"> R. </w:t>
      </w:r>
      <w:proofErr w:type="spellStart"/>
      <w:r w:rsidRPr="000C15DB">
        <w:rPr>
          <w:rFonts w:ascii="Arial" w:hAnsi="Arial" w:cs="Arial"/>
        </w:rPr>
        <w:t>Posthuma</w:t>
      </w:r>
      <w:proofErr w:type="spellEnd"/>
      <w:r w:rsidRPr="000C15DB">
        <w:rPr>
          <w:rFonts w:ascii="Arial" w:hAnsi="Arial" w:cs="Arial"/>
        </w:rPr>
        <w:t xml:space="preserve"> of</w:t>
      </w:r>
    </w:p>
    <w:p w:rsid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 xml:space="preserve">Parrish &amp; </w:t>
      </w:r>
      <w:proofErr w:type="spellStart"/>
      <w:r w:rsidRPr="000C15DB">
        <w:rPr>
          <w:rFonts w:ascii="Arial" w:hAnsi="Arial" w:cs="Arial"/>
        </w:rPr>
        <w:t>Yarnell</w:t>
      </w:r>
      <w:proofErr w:type="spellEnd"/>
      <w:r w:rsidRPr="000C15DB">
        <w:rPr>
          <w:rFonts w:ascii="Arial" w:hAnsi="Arial" w:cs="Arial"/>
        </w:rPr>
        <w:t>, P.A., Naples, for</w:t>
      </w:r>
    </w:p>
    <w:p w:rsidR="000C15DB" w:rsidRP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 xml:space="preserve">Appellants.  </w:t>
      </w:r>
    </w:p>
    <w:p w:rsidR="000C15DB" w:rsidRPr="000C15DB" w:rsidRDefault="000C15DB" w:rsidP="000C15DB">
      <w:pPr>
        <w:tabs>
          <w:tab w:val="left" w:pos="1440"/>
          <w:tab w:val="left" w:pos="4680"/>
          <w:tab w:val="left" w:pos="6120"/>
        </w:tabs>
        <w:suppressAutoHyphens/>
        <w:rPr>
          <w:rFonts w:ascii="Arial" w:hAnsi="Arial" w:cs="Arial"/>
        </w:rPr>
      </w:pPr>
    </w:p>
    <w:p w:rsidR="000C15DB" w:rsidRP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 xml:space="preserve">Guy Harrison of </w:t>
      </w:r>
      <w:proofErr w:type="spellStart"/>
      <w:r w:rsidRPr="000C15DB">
        <w:rPr>
          <w:rFonts w:ascii="Arial" w:hAnsi="Arial" w:cs="Arial"/>
        </w:rPr>
        <w:t>Etcheverry</w:t>
      </w:r>
      <w:proofErr w:type="spellEnd"/>
      <w:r w:rsidRPr="000C15DB">
        <w:rPr>
          <w:rFonts w:ascii="Arial" w:hAnsi="Arial" w:cs="Arial"/>
        </w:rPr>
        <w:t xml:space="preserve"> Harrison LLP,</w:t>
      </w:r>
    </w:p>
    <w:p w:rsid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Fort Lauderdale, for Appellees William</w:t>
      </w:r>
      <w:r>
        <w:rPr>
          <w:rFonts w:ascii="Arial" w:hAnsi="Arial" w:cs="Arial"/>
        </w:rPr>
        <w:t xml:space="preserve"> and</w:t>
      </w:r>
    </w:p>
    <w:p w:rsidR="000C15DB" w:rsidRP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Margaret Harrison.</w:t>
      </w:r>
    </w:p>
    <w:p w:rsidR="000C15DB" w:rsidRPr="000C15DB" w:rsidRDefault="000C15DB" w:rsidP="000C15DB">
      <w:pPr>
        <w:tabs>
          <w:tab w:val="left" w:pos="1440"/>
          <w:tab w:val="left" w:pos="4680"/>
          <w:tab w:val="left" w:pos="6120"/>
        </w:tabs>
        <w:suppressAutoHyphens/>
        <w:rPr>
          <w:rFonts w:ascii="Arial" w:hAnsi="Arial" w:cs="Arial"/>
        </w:rPr>
      </w:pPr>
    </w:p>
    <w:p w:rsid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No appearance for Appellees Bateman</w:t>
      </w:r>
      <w:r>
        <w:rPr>
          <w:rFonts w:ascii="Arial" w:hAnsi="Arial" w:cs="Arial"/>
        </w:rPr>
        <w:t xml:space="preserve"> </w:t>
      </w:r>
      <w:r w:rsidRPr="000C15DB">
        <w:rPr>
          <w:rFonts w:ascii="Arial" w:hAnsi="Arial" w:cs="Arial"/>
        </w:rPr>
        <w:t>a</w:t>
      </w:r>
      <w:r>
        <w:rPr>
          <w:rFonts w:ascii="Arial" w:hAnsi="Arial" w:cs="Arial"/>
        </w:rPr>
        <w:t>nd</w:t>
      </w:r>
    </w:p>
    <w:p w:rsidR="000C15DB" w:rsidRDefault="000C15DB" w:rsidP="000C15DB">
      <w:pPr>
        <w:tabs>
          <w:tab w:val="left" w:pos="1440"/>
          <w:tab w:val="left" w:pos="4680"/>
          <w:tab w:val="left" w:pos="6120"/>
        </w:tabs>
        <w:suppressAutoHyphens/>
        <w:rPr>
          <w:rFonts w:ascii="Arial" w:hAnsi="Arial" w:cs="Arial"/>
        </w:rPr>
      </w:pPr>
      <w:r w:rsidRPr="000C15DB">
        <w:rPr>
          <w:rFonts w:ascii="Arial" w:hAnsi="Arial" w:cs="Arial"/>
        </w:rPr>
        <w:t>Martin Developments Inc., Arthur</w:t>
      </w:r>
      <w:r>
        <w:rPr>
          <w:rFonts w:ascii="Arial" w:hAnsi="Arial" w:cs="Arial"/>
        </w:rPr>
        <w:t xml:space="preserve"> </w:t>
      </w:r>
      <w:r w:rsidRPr="000C15DB">
        <w:rPr>
          <w:rFonts w:ascii="Arial" w:hAnsi="Arial" w:cs="Arial"/>
        </w:rPr>
        <w:t>Bateman,</w:t>
      </w:r>
    </w:p>
    <w:p w:rsidR="006C36BA" w:rsidRPr="00AC3865" w:rsidRDefault="000C15DB" w:rsidP="000C15DB">
      <w:pPr>
        <w:tabs>
          <w:tab w:val="left" w:pos="1440"/>
          <w:tab w:val="left" w:pos="4680"/>
          <w:tab w:val="left" w:pos="6120"/>
        </w:tabs>
        <w:suppressAutoHyphens/>
        <w:rPr>
          <w:rFonts w:ascii="Arial" w:hAnsi="Arial" w:cs="Arial"/>
          <w:b/>
        </w:rPr>
      </w:pPr>
      <w:proofErr w:type="gramStart"/>
      <w:r w:rsidRPr="000C15DB">
        <w:rPr>
          <w:rFonts w:ascii="Arial" w:hAnsi="Arial" w:cs="Arial"/>
        </w:rPr>
        <w:t>and</w:t>
      </w:r>
      <w:proofErr w:type="gramEnd"/>
      <w:r w:rsidRPr="000C15DB">
        <w:rPr>
          <w:rFonts w:ascii="Arial" w:hAnsi="Arial" w:cs="Arial"/>
        </w:rPr>
        <w:t xml:space="preserve"> Daniel Martin.</w:t>
      </w:r>
    </w:p>
    <w:p w:rsidR="005D27F4" w:rsidRDefault="005D27F4" w:rsidP="00667C6B">
      <w:pPr>
        <w:tabs>
          <w:tab w:val="left" w:pos="1440"/>
          <w:tab w:val="left" w:pos="4680"/>
          <w:tab w:val="left" w:pos="6120"/>
        </w:tabs>
        <w:suppressAutoHyphens/>
        <w:rPr>
          <w:rFonts w:ascii="Arial" w:hAnsi="Arial" w:cs="Arial"/>
        </w:rPr>
      </w:pPr>
    </w:p>
    <w:p w:rsidR="00FE1D8F" w:rsidRPr="00FE1D8F" w:rsidRDefault="00FE1D8F" w:rsidP="00FE1D8F">
      <w:pPr>
        <w:tabs>
          <w:tab w:val="left" w:pos="1440"/>
        </w:tabs>
        <w:rPr>
          <w:rFonts w:ascii="Arial" w:hAnsi="Arial" w:cs="Arial"/>
          <w:lang w:val="en-AU"/>
        </w:rPr>
      </w:pPr>
      <w:r w:rsidRPr="00FE1D8F">
        <w:rPr>
          <w:rFonts w:ascii="Arial" w:hAnsi="Arial" w:cs="Arial"/>
          <w:lang w:val="en-AU"/>
        </w:rPr>
        <w:t>MORRIS, Judge.</w:t>
      </w:r>
    </w:p>
    <w:p w:rsidR="00FE1D8F" w:rsidRPr="00FE1D8F" w:rsidRDefault="00FE1D8F" w:rsidP="00FE1D8F">
      <w:pPr>
        <w:tabs>
          <w:tab w:val="left" w:pos="1440"/>
        </w:tabs>
        <w:rPr>
          <w:rFonts w:ascii="Arial" w:hAnsi="Arial" w:cs="Arial"/>
          <w:lang w:val="en-AU"/>
        </w:rPr>
      </w:pPr>
    </w:p>
    <w:p w:rsidR="00FE1D8F" w:rsidRPr="00FE1D8F" w:rsidRDefault="00FE1D8F" w:rsidP="00FE1D8F">
      <w:pPr>
        <w:tabs>
          <w:tab w:val="left" w:pos="1440"/>
        </w:tabs>
        <w:spacing w:line="480" w:lineRule="auto"/>
        <w:rPr>
          <w:rFonts w:ascii="Arial" w:hAnsi="Arial" w:cs="Arial"/>
          <w:lang w:val="en-AU"/>
        </w:rPr>
      </w:pPr>
      <w:r w:rsidRPr="00FE1D8F">
        <w:rPr>
          <w:rFonts w:ascii="Arial" w:hAnsi="Arial" w:cs="Arial"/>
          <w:lang w:val="en-AU"/>
        </w:rPr>
        <w:tab/>
        <w:t>2245 Venetian Court Building 4, Inc., and San Marino Properties, LLC, (Venetian) appeal a postjudgment discovery order requiring them to produce various financial and organizational documents.  We hold that the requested documents were relevant in the context of the postjudgment proceedings and that the trial court did not err in requiring their production.  We therefore affirm.</w:t>
      </w:r>
    </w:p>
    <w:p w:rsidR="00FE1D8F" w:rsidRPr="00FE1D8F" w:rsidRDefault="00FE1D8F" w:rsidP="00FE1D8F">
      <w:pPr>
        <w:tabs>
          <w:tab w:val="left" w:pos="1440"/>
        </w:tabs>
        <w:spacing w:line="480" w:lineRule="auto"/>
        <w:rPr>
          <w:rFonts w:ascii="Arial" w:hAnsi="Arial" w:cs="Arial"/>
          <w:lang w:val="en-AU"/>
        </w:rPr>
      </w:pPr>
      <w:r w:rsidRPr="00FE1D8F">
        <w:rPr>
          <w:rFonts w:ascii="Arial" w:hAnsi="Arial" w:cs="Arial"/>
          <w:lang w:val="en-AU"/>
        </w:rPr>
        <w:tab/>
        <w:t>In 2012, William and Margaret Harrison, as trustees of the Margaret Harrison Living Trust, obtained a default judgment</w:t>
      </w:r>
      <w:r w:rsidRPr="00FE1D8F">
        <w:rPr>
          <w:rStyle w:val="FootnoteReference"/>
          <w:rFonts w:ascii="Arial" w:hAnsi="Arial" w:cs="Arial"/>
          <w:lang w:val="en-AU"/>
        </w:rPr>
        <w:footnoteReference w:id="1"/>
      </w:r>
      <w:r w:rsidRPr="00FE1D8F">
        <w:rPr>
          <w:rFonts w:ascii="Arial" w:hAnsi="Arial" w:cs="Arial"/>
          <w:lang w:val="en-AU"/>
        </w:rPr>
        <w:t xml:space="preserve"> against two individuals: Arthur Bateman and Daniel Martin.  After unsuccessfully attempting to recover on their judgment against Bateman, the Harrisons issued subpoenas </w:t>
      </w:r>
      <w:proofErr w:type="spellStart"/>
      <w:r w:rsidRPr="00FE1D8F">
        <w:rPr>
          <w:rFonts w:ascii="Arial" w:hAnsi="Arial" w:cs="Arial"/>
          <w:lang w:val="en-AU"/>
        </w:rPr>
        <w:t>duces</w:t>
      </w:r>
      <w:proofErr w:type="spellEnd"/>
      <w:r w:rsidRPr="00FE1D8F">
        <w:rPr>
          <w:rFonts w:ascii="Arial" w:hAnsi="Arial" w:cs="Arial"/>
          <w:lang w:val="en-AU"/>
        </w:rPr>
        <w:t xml:space="preserve"> </w:t>
      </w:r>
      <w:proofErr w:type="spellStart"/>
      <w:r w:rsidRPr="00FE1D8F">
        <w:rPr>
          <w:rFonts w:ascii="Arial" w:hAnsi="Arial" w:cs="Arial"/>
          <w:lang w:val="en-AU"/>
        </w:rPr>
        <w:t>tecum</w:t>
      </w:r>
      <w:proofErr w:type="spellEnd"/>
      <w:r w:rsidRPr="00FE1D8F">
        <w:rPr>
          <w:rFonts w:ascii="Arial" w:hAnsi="Arial" w:cs="Arial"/>
          <w:lang w:val="en-AU"/>
        </w:rPr>
        <w:t xml:space="preserve"> to Venetian in aid of execution of their judgment.  These subpoenas were based on the Harrisons' review of various public records which reflected that:</w:t>
      </w:r>
    </w:p>
    <w:p w:rsidR="00FE1D8F" w:rsidRPr="00FE1D8F" w:rsidRDefault="00FE1D8F" w:rsidP="00FE1D8F">
      <w:pPr>
        <w:pStyle w:val="ListParagraph"/>
        <w:numPr>
          <w:ilvl w:val="0"/>
          <w:numId w:val="1"/>
        </w:numPr>
        <w:tabs>
          <w:tab w:val="left" w:pos="1440"/>
        </w:tabs>
        <w:ind w:left="1800" w:right="1440"/>
        <w:rPr>
          <w:rFonts w:cs="Arial"/>
          <w:lang w:val="en-AU"/>
        </w:rPr>
      </w:pPr>
      <w:r w:rsidRPr="00FE1D8F">
        <w:rPr>
          <w:rFonts w:cs="Arial"/>
          <w:lang w:val="en-AU"/>
        </w:rPr>
        <w:t xml:space="preserve">Bateman was a registered agent or president of various Venetian-related corporations and partnerships between 2004 and 2013; </w:t>
      </w:r>
    </w:p>
    <w:p w:rsidR="00FE1D8F" w:rsidRPr="00FE1D8F" w:rsidRDefault="00FE1D8F" w:rsidP="00FE1D8F">
      <w:pPr>
        <w:pStyle w:val="ListParagraph"/>
        <w:numPr>
          <w:ilvl w:val="0"/>
          <w:numId w:val="1"/>
        </w:numPr>
        <w:tabs>
          <w:tab w:val="left" w:pos="1440"/>
        </w:tabs>
        <w:ind w:left="1800" w:right="1440"/>
        <w:rPr>
          <w:rFonts w:cs="Arial"/>
          <w:lang w:val="en-AU"/>
        </w:rPr>
      </w:pPr>
      <w:r w:rsidRPr="00FE1D8F">
        <w:rPr>
          <w:rFonts w:cs="Arial"/>
          <w:lang w:val="en-AU"/>
        </w:rPr>
        <w:t>Bateman also executed the mortgage for a property owned by one of the Venetian corporations</w:t>
      </w:r>
      <w:r w:rsidR="00DB307A">
        <w:rPr>
          <w:rFonts w:cs="Arial"/>
          <w:lang w:val="en-AU"/>
        </w:rPr>
        <w:t>,</w:t>
      </w:r>
      <w:r w:rsidRPr="00FE1D8F">
        <w:rPr>
          <w:rFonts w:cs="Arial"/>
          <w:lang w:val="en-AU"/>
        </w:rPr>
        <w:t xml:space="preserve"> and as of 2012, he was still listed on property tax records as the owner of that same property;</w:t>
      </w:r>
    </w:p>
    <w:p w:rsidR="00FE1D8F" w:rsidRPr="00FE1D8F" w:rsidRDefault="00E4510D" w:rsidP="00FE1D8F">
      <w:pPr>
        <w:pStyle w:val="ListParagraph"/>
        <w:numPr>
          <w:ilvl w:val="0"/>
          <w:numId w:val="1"/>
        </w:numPr>
        <w:tabs>
          <w:tab w:val="left" w:pos="1440"/>
        </w:tabs>
        <w:ind w:left="1800" w:right="1440"/>
        <w:rPr>
          <w:rFonts w:cs="Arial"/>
          <w:lang w:val="en-AU"/>
        </w:rPr>
      </w:pPr>
      <w:r>
        <w:rPr>
          <w:rFonts w:cs="Arial"/>
          <w:lang w:val="en-AU"/>
        </w:rPr>
        <w:t>A</w:t>
      </w:r>
      <w:r w:rsidR="00FE1D8F" w:rsidRPr="00FE1D8F">
        <w:rPr>
          <w:rFonts w:cs="Arial"/>
          <w:lang w:val="en-AU"/>
        </w:rPr>
        <w:t xml:space="preserve"> separate entity, San Marino Properties, LLC, was created in 2010, and that entity shared a managing member, </w:t>
      </w:r>
      <w:proofErr w:type="spellStart"/>
      <w:r w:rsidR="00FE1D8F" w:rsidRPr="00FE1D8F">
        <w:rPr>
          <w:rFonts w:cs="Arial"/>
          <w:lang w:val="en-AU"/>
        </w:rPr>
        <w:t>Mr.</w:t>
      </w:r>
      <w:proofErr w:type="spellEnd"/>
      <w:r w:rsidR="00FE1D8F" w:rsidRPr="00FE1D8F">
        <w:rPr>
          <w:rFonts w:cs="Arial"/>
          <w:lang w:val="en-AU"/>
        </w:rPr>
        <w:t xml:space="preserve"> Dana </w:t>
      </w:r>
      <w:proofErr w:type="spellStart"/>
      <w:r w:rsidR="00FE1D8F" w:rsidRPr="00FE1D8F">
        <w:rPr>
          <w:rFonts w:cs="Arial"/>
          <w:lang w:val="en-AU"/>
        </w:rPr>
        <w:t>Bessette</w:t>
      </w:r>
      <w:proofErr w:type="spellEnd"/>
      <w:r w:rsidR="00FE1D8F" w:rsidRPr="00FE1D8F">
        <w:rPr>
          <w:rFonts w:cs="Arial"/>
          <w:lang w:val="en-AU"/>
        </w:rPr>
        <w:t xml:space="preserve">, with other Venetian-related corporations (in 2012, </w:t>
      </w:r>
      <w:proofErr w:type="spellStart"/>
      <w:r w:rsidR="00FE1D8F" w:rsidRPr="00FE1D8F">
        <w:rPr>
          <w:rFonts w:cs="Arial"/>
          <w:lang w:val="en-AU"/>
        </w:rPr>
        <w:t>Bessette</w:t>
      </w:r>
      <w:proofErr w:type="spellEnd"/>
      <w:r w:rsidR="00FE1D8F" w:rsidRPr="00FE1D8F">
        <w:rPr>
          <w:rFonts w:cs="Arial"/>
          <w:lang w:val="en-AU"/>
        </w:rPr>
        <w:t xml:space="preserve"> listed himself as president of 2245 Venetian Court Building 4, Inc.);</w:t>
      </w:r>
    </w:p>
    <w:p w:rsidR="00FE1D8F" w:rsidRPr="00FE1D8F" w:rsidRDefault="00FE1D8F" w:rsidP="00FE1D8F">
      <w:pPr>
        <w:pStyle w:val="ListParagraph"/>
        <w:numPr>
          <w:ilvl w:val="0"/>
          <w:numId w:val="1"/>
        </w:numPr>
        <w:tabs>
          <w:tab w:val="left" w:pos="1440"/>
        </w:tabs>
        <w:ind w:left="1800" w:right="1440"/>
        <w:rPr>
          <w:rFonts w:cs="Arial"/>
          <w:lang w:val="en-AU"/>
        </w:rPr>
      </w:pPr>
      <w:r w:rsidRPr="00FE1D8F">
        <w:rPr>
          <w:rFonts w:cs="Arial"/>
          <w:lang w:val="en-AU"/>
        </w:rPr>
        <w:t xml:space="preserve">In 2012, </w:t>
      </w:r>
      <w:proofErr w:type="spellStart"/>
      <w:r w:rsidRPr="00FE1D8F">
        <w:rPr>
          <w:rFonts w:cs="Arial"/>
          <w:lang w:val="en-AU"/>
        </w:rPr>
        <w:t>Mr.</w:t>
      </w:r>
      <w:proofErr w:type="spellEnd"/>
      <w:r w:rsidRPr="00FE1D8F">
        <w:rPr>
          <w:rFonts w:cs="Arial"/>
          <w:lang w:val="en-AU"/>
        </w:rPr>
        <w:t xml:space="preserve"> </w:t>
      </w:r>
      <w:proofErr w:type="spellStart"/>
      <w:r w:rsidRPr="00FE1D8F">
        <w:rPr>
          <w:rFonts w:cs="Arial"/>
          <w:lang w:val="en-AU"/>
        </w:rPr>
        <w:t>Bessette</w:t>
      </w:r>
      <w:proofErr w:type="spellEnd"/>
      <w:r w:rsidRPr="00FE1D8F">
        <w:rPr>
          <w:rFonts w:cs="Arial"/>
          <w:lang w:val="en-AU"/>
        </w:rPr>
        <w:t xml:space="preserve"> provided the same mailing address for both 2245 Venetian Court Building 4, Inc., and San Marino Properties, LLC.</w:t>
      </w:r>
    </w:p>
    <w:p w:rsidR="00FE1D8F" w:rsidRPr="00FE1D8F" w:rsidRDefault="00FE1D8F" w:rsidP="00FE1D8F">
      <w:pPr>
        <w:tabs>
          <w:tab w:val="left" w:pos="1440"/>
        </w:tabs>
        <w:rPr>
          <w:rFonts w:ascii="Arial" w:hAnsi="Arial" w:cs="Arial"/>
          <w:lang w:val="en-AU"/>
        </w:rPr>
      </w:pPr>
    </w:p>
    <w:p w:rsidR="00FE1D8F" w:rsidRPr="00FE1D8F" w:rsidRDefault="00FE1D8F" w:rsidP="00FE1D8F">
      <w:pPr>
        <w:tabs>
          <w:tab w:val="left" w:pos="1440"/>
        </w:tabs>
        <w:spacing w:line="480" w:lineRule="auto"/>
        <w:rPr>
          <w:rFonts w:ascii="Arial" w:hAnsi="Arial" w:cs="Arial"/>
          <w:lang w:val="en-AU"/>
        </w:rPr>
      </w:pPr>
      <w:r w:rsidRPr="00FE1D8F">
        <w:rPr>
          <w:rFonts w:ascii="Arial" w:hAnsi="Arial" w:cs="Arial"/>
          <w:lang w:val="en-AU"/>
        </w:rPr>
        <w:lastRenderedPageBreak/>
        <w:t>Venetian objected to the subpoenas and filed motions to quash.  The Harrisons filed a memorandum in opposition to the motions to quash and attached the public records they relied on in serving their subpoenas.  Ultimately, the trial court denied Venetian's motions.</w:t>
      </w:r>
    </w:p>
    <w:p w:rsidR="00FE1D8F" w:rsidRPr="00FE1D8F" w:rsidRDefault="00FE1D8F" w:rsidP="00005023">
      <w:pPr>
        <w:pStyle w:val="Heading1"/>
      </w:pPr>
      <w:r w:rsidRPr="00FE1D8F">
        <w:t>Relevance</w:t>
      </w:r>
    </w:p>
    <w:p w:rsidR="00FE1D8F" w:rsidRPr="00FE1D8F" w:rsidRDefault="00FE1D8F" w:rsidP="00FE1D8F">
      <w:pPr>
        <w:tabs>
          <w:tab w:val="left" w:pos="1440"/>
        </w:tabs>
        <w:spacing w:line="480" w:lineRule="auto"/>
        <w:rPr>
          <w:rFonts w:ascii="Arial" w:hAnsi="Arial" w:cs="Arial"/>
          <w:lang w:val="en-AU"/>
        </w:rPr>
      </w:pPr>
      <w:r w:rsidRPr="00FE1D8F">
        <w:rPr>
          <w:rFonts w:ascii="Arial" w:hAnsi="Arial" w:cs="Arial"/>
          <w:lang w:val="en-AU"/>
        </w:rPr>
        <w:tab/>
        <w:t xml:space="preserve">We review the trial court's order for abuse of discretion.  </w:t>
      </w:r>
      <w:r w:rsidRPr="00FE1D8F">
        <w:rPr>
          <w:rFonts w:ascii="Arial" w:hAnsi="Arial" w:cs="Arial"/>
          <w:u w:val="single"/>
          <w:lang w:val="en-AU"/>
        </w:rPr>
        <w:t>See</w:t>
      </w:r>
      <w:r w:rsidRPr="00FE1D8F">
        <w:rPr>
          <w:rFonts w:ascii="Arial" w:hAnsi="Arial" w:cs="Arial"/>
          <w:lang w:val="en-AU"/>
        </w:rPr>
        <w:t xml:space="preserve"> </w:t>
      </w:r>
      <w:r w:rsidRPr="00FE1D8F">
        <w:rPr>
          <w:rFonts w:ascii="Arial" w:hAnsi="Arial" w:cs="Arial"/>
          <w:u w:val="single"/>
          <w:lang w:val="en-AU"/>
        </w:rPr>
        <w:t xml:space="preserve">Friedman v. Heart Inst. of Port St. </w:t>
      </w:r>
      <w:proofErr w:type="spellStart"/>
      <w:r w:rsidRPr="00FE1D8F">
        <w:rPr>
          <w:rFonts w:ascii="Arial" w:hAnsi="Arial" w:cs="Arial"/>
          <w:u w:val="single"/>
          <w:lang w:val="en-AU"/>
        </w:rPr>
        <w:t>Lucie</w:t>
      </w:r>
      <w:proofErr w:type="spellEnd"/>
      <w:r w:rsidRPr="00FE1D8F">
        <w:rPr>
          <w:rFonts w:ascii="Arial" w:hAnsi="Arial" w:cs="Arial"/>
          <w:u w:val="single"/>
          <w:lang w:val="en-AU"/>
        </w:rPr>
        <w:t>, Inc.</w:t>
      </w:r>
      <w:r w:rsidRPr="00FE1D8F">
        <w:rPr>
          <w:rFonts w:ascii="Arial" w:hAnsi="Arial" w:cs="Arial"/>
          <w:lang w:val="en-AU"/>
        </w:rPr>
        <w:t>, 863 So. 2d 189, 194 (Fla. 2003).</w:t>
      </w:r>
    </w:p>
    <w:p w:rsidR="00FE1D8F" w:rsidRPr="00FE1D8F" w:rsidRDefault="00FE1D8F" w:rsidP="00FE1D8F">
      <w:pPr>
        <w:tabs>
          <w:tab w:val="left" w:pos="1440"/>
        </w:tabs>
        <w:spacing w:line="480" w:lineRule="auto"/>
        <w:rPr>
          <w:rFonts w:ascii="Arial" w:hAnsi="Arial" w:cs="Arial"/>
          <w:lang w:val="en-AU"/>
        </w:rPr>
      </w:pPr>
      <w:r w:rsidRPr="00FE1D8F">
        <w:rPr>
          <w:rFonts w:ascii="Arial" w:hAnsi="Arial" w:cs="Arial"/>
          <w:lang w:val="en-AU"/>
        </w:rPr>
        <w:tab/>
        <w:t xml:space="preserve">Venetian first argues that the requested documents are not relevant as Venetian was a </w:t>
      </w:r>
      <w:proofErr w:type="spellStart"/>
      <w:r w:rsidRPr="00FE1D8F">
        <w:rPr>
          <w:rFonts w:ascii="Arial" w:hAnsi="Arial" w:cs="Arial"/>
          <w:lang w:val="en-AU"/>
        </w:rPr>
        <w:t>nonparty</w:t>
      </w:r>
      <w:proofErr w:type="spellEnd"/>
      <w:r w:rsidRPr="00FE1D8F">
        <w:rPr>
          <w:rFonts w:ascii="Arial" w:hAnsi="Arial" w:cs="Arial"/>
          <w:lang w:val="en-AU"/>
        </w:rPr>
        <w:t xml:space="preserve"> to the proceedings underlying the deficiency judgment and the subpoenas do not limit the requests for documents to items relating solely to Bateman, the judgment debtor.  Venetian also points out that the requests are not related to any claim for malfeasance.  </w:t>
      </w:r>
    </w:p>
    <w:p w:rsidR="00FE1D8F" w:rsidRPr="00FE1D8F" w:rsidRDefault="00FE1D8F" w:rsidP="00FE1D8F">
      <w:pPr>
        <w:tabs>
          <w:tab w:val="left" w:pos="1440"/>
        </w:tabs>
        <w:spacing w:line="480" w:lineRule="auto"/>
        <w:rPr>
          <w:rFonts w:ascii="Arial" w:hAnsi="Arial" w:cs="Arial"/>
          <w:lang w:val="en-AU"/>
        </w:rPr>
      </w:pPr>
      <w:r w:rsidRPr="00FE1D8F">
        <w:rPr>
          <w:rFonts w:ascii="Arial" w:hAnsi="Arial" w:cs="Arial"/>
          <w:lang w:val="en-AU"/>
        </w:rPr>
        <w:tab/>
        <w:t xml:space="preserve">  Relevance is indeed the "polestar" in a discovery request.  </w:t>
      </w:r>
      <w:r w:rsidRPr="00FE1D8F">
        <w:rPr>
          <w:rFonts w:ascii="Arial" w:hAnsi="Arial" w:cs="Arial"/>
          <w:u w:val="single"/>
          <w:lang w:val="en-AU"/>
        </w:rPr>
        <w:t>See</w:t>
      </w:r>
      <w:r w:rsidRPr="00FE1D8F">
        <w:rPr>
          <w:rFonts w:ascii="Arial" w:hAnsi="Arial" w:cs="Arial"/>
          <w:lang w:val="en-AU"/>
        </w:rPr>
        <w:t xml:space="preserve"> </w:t>
      </w:r>
      <w:r w:rsidRPr="00FE1D8F">
        <w:rPr>
          <w:rFonts w:ascii="Arial" w:hAnsi="Arial" w:cs="Arial"/>
          <w:u w:val="single"/>
          <w:lang w:val="en-AU"/>
        </w:rPr>
        <w:t xml:space="preserve">McDonald's Rests. </w:t>
      </w:r>
      <w:proofErr w:type="gramStart"/>
      <w:r w:rsidRPr="00FE1D8F">
        <w:rPr>
          <w:rFonts w:ascii="Arial" w:hAnsi="Arial" w:cs="Arial"/>
          <w:u w:val="single"/>
          <w:lang w:val="en-AU"/>
        </w:rPr>
        <w:t>of</w:t>
      </w:r>
      <w:proofErr w:type="gramEnd"/>
      <w:r w:rsidRPr="00FE1D8F">
        <w:rPr>
          <w:rFonts w:ascii="Arial" w:hAnsi="Arial" w:cs="Arial"/>
          <w:u w:val="single"/>
          <w:lang w:val="en-AU"/>
        </w:rPr>
        <w:t xml:space="preserve"> Fla., Inc. v. Doe</w:t>
      </w:r>
      <w:r w:rsidRPr="00FE1D8F">
        <w:rPr>
          <w:rFonts w:ascii="Arial" w:hAnsi="Arial" w:cs="Arial"/>
          <w:lang w:val="en-AU"/>
        </w:rPr>
        <w:t xml:space="preserve">, 87 So. 3d 791, 793 (Fla. 2d DCA 2012).  However, this court has repeatedly noted the distinction between prejudgment and postjudgment discovery.  In the prejudgment context, "a party is entitled only to the opponent's financial records that pertain to the pending action."  </w:t>
      </w:r>
      <w:r w:rsidRPr="00FE1D8F">
        <w:rPr>
          <w:rFonts w:ascii="Arial" w:hAnsi="Arial" w:cs="Arial"/>
          <w:u w:val="single"/>
          <w:lang w:val="en-AU"/>
        </w:rPr>
        <w:t xml:space="preserve">Regions Bank v. MDG Frank </w:t>
      </w:r>
      <w:proofErr w:type="spellStart"/>
      <w:r w:rsidRPr="00FE1D8F">
        <w:rPr>
          <w:rFonts w:ascii="Arial" w:hAnsi="Arial" w:cs="Arial"/>
          <w:u w:val="single"/>
          <w:lang w:val="en-AU"/>
        </w:rPr>
        <w:t>Helmerich</w:t>
      </w:r>
      <w:proofErr w:type="spellEnd"/>
      <w:r w:rsidRPr="00FE1D8F">
        <w:rPr>
          <w:rFonts w:ascii="Arial" w:hAnsi="Arial" w:cs="Arial"/>
          <w:u w:val="single"/>
          <w:lang w:val="en-AU"/>
        </w:rPr>
        <w:t>, LLC</w:t>
      </w:r>
      <w:r w:rsidRPr="00FE1D8F">
        <w:rPr>
          <w:rFonts w:ascii="Arial" w:hAnsi="Arial" w:cs="Arial"/>
          <w:lang w:val="en-AU"/>
        </w:rPr>
        <w:t xml:space="preserve">, 118 So. 3d 968, 969 (Fla. 2d DCA 2013).  "But in postjudgment discovery, the dispute in the original civil action has been resolved [and, therefore] [t]he matters relevant for discovery [are those] that will enable the judgment creditor to collect the debt."  </w:t>
      </w:r>
      <w:r w:rsidRPr="00FE1D8F">
        <w:rPr>
          <w:rFonts w:ascii="Arial" w:hAnsi="Arial" w:cs="Arial"/>
          <w:u w:val="single"/>
          <w:lang w:val="en-AU"/>
        </w:rPr>
        <w:t>Id.</w:t>
      </w:r>
      <w:r w:rsidRPr="00FE1D8F">
        <w:rPr>
          <w:rFonts w:ascii="Arial" w:hAnsi="Arial" w:cs="Arial"/>
          <w:lang w:val="en-AU"/>
        </w:rPr>
        <w:t xml:space="preserve">; </w:t>
      </w:r>
      <w:r w:rsidRPr="00FE1D8F">
        <w:rPr>
          <w:rFonts w:ascii="Arial" w:hAnsi="Arial" w:cs="Arial"/>
          <w:u w:val="single"/>
          <w:lang w:val="en-AU"/>
        </w:rPr>
        <w:t>see also</w:t>
      </w:r>
      <w:r w:rsidRPr="00FE1D8F">
        <w:rPr>
          <w:rFonts w:ascii="Arial" w:hAnsi="Arial" w:cs="Arial"/>
          <w:lang w:val="en-AU"/>
        </w:rPr>
        <w:t xml:space="preserve"> </w:t>
      </w:r>
      <w:r w:rsidRPr="00FE1D8F">
        <w:rPr>
          <w:rFonts w:ascii="Arial" w:hAnsi="Arial" w:cs="Arial"/>
          <w:u w:val="single"/>
          <w:lang w:val="en-AU"/>
        </w:rPr>
        <w:t xml:space="preserve">Gen. Elec. Capital Corp. v. </w:t>
      </w:r>
      <w:proofErr w:type="spellStart"/>
      <w:r w:rsidRPr="00FE1D8F">
        <w:rPr>
          <w:rFonts w:ascii="Arial" w:hAnsi="Arial" w:cs="Arial"/>
          <w:u w:val="single"/>
          <w:lang w:val="en-AU"/>
        </w:rPr>
        <w:t>Nunziata</w:t>
      </w:r>
      <w:proofErr w:type="spellEnd"/>
      <w:r w:rsidRPr="00FE1D8F">
        <w:rPr>
          <w:rFonts w:ascii="Arial" w:hAnsi="Arial" w:cs="Arial"/>
          <w:lang w:val="en-AU"/>
        </w:rPr>
        <w:t xml:space="preserve">, 124 </w:t>
      </w:r>
      <w:proofErr w:type="spellStart"/>
      <w:r w:rsidRPr="00FE1D8F">
        <w:rPr>
          <w:rFonts w:ascii="Arial" w:hAnsi="Arial" w:cs="Arial"/>
          <w:lang w:val="en-AU"/>
        </w:rPr>
        <w:t>So.</w:t>
      </w:r>
      <w:proofErr w:type="spellEnd"/>
      <w:r w:rsidRPr="00FE1D8F">
        <w:rPr>
          <w:rFonts w:ascii="Arial" w:hAnsi="Arial" w:cs="Arial"/>
          <w:lang w:val="en-AU"/>
        </w:rPr>
        <w:t xml:space="preserve"> 3d 940, 943 (Fla. 2d DCA 2013) ("In the context of postjudgment discovery, matters relevant to the subject matter of the pending action or which would lead to the discovery of admissible </w:t>
      </w:r>
      <w:r w:rsidRPr="00FE1D8F">
        <w:rPr>
          <w:rFonts w:ascii="Arial" w:hAnsi="Arial" w:cs="Arial"/>
          <w:lang w:val="en-AU"/>
        </w:rPr>
        <w:lastRenderedPageBreak/>
        <w:t>evidence, per [Florida] Rule [of Civil Procedure] 1.280(b)(1), would encompass matters identifying or leading to the discovery of assets available for execution. . . ."</w:t>
      </w:r>
      <w:r w:rsidR="00573D98">
        <w:rPr>
          <w:rFonts w:ascii="Arial" w:hAnsi="Arial" w:cs="Arial"/>
          <w:lang w:val="en-AU"/>
        </w:rPr>
        <w:t xml:space="preserve"> (</w:t>
      </w:r>
      <w:proofErr w:type="gramStart"/>
      <w:r w:rsidR="00573D98">
        <w:rPr>
          <w:rFonts w:ascii="Arial" w:hAnsi="Arial" w:cs="Arial"/>
          <w:lang w:val="en-AU"/>
        </w:rPr>
        <w:t>alteration</w:t>
      </w:r>
      <w:proofErr w:type="gramEnd"/>
      <w:r w:rsidR="00573D98">
        <w:rPr>
          <w:rFonts w:ascii="Arial" w:hAnsi="Arial" w:cs="Arial"/>
          <w:lang w:val="en-AU"/>
        </w:rPr>
        <w:t xml:space="preserve"> in original)</w:t>
      </w:r>
      <w:r w:rsidRPr="00FE1D8F">
        <w:rPr>
          <w:rFonts w:ascii="Arial" w:hAnsi="Arial" w:cs="Arial"/>
          <w:lang w:val="en-AU"/>
        </w:rPr>
        <w:t xml:space="preserve"> (</w:t>
      </w:r>
      <w:proofErr w:type="gramStart"/>
      <w:r w:rsidR="00517FB9">
        <w:rPr>
          <w:rFonts w:ascii="Arial" w:hAnsi="Arial" w:cs="Arial"/>
          <w:lang w:val="en-AU"/>
        </w:rPr>
        <w:t>internal</w:t>
      </w:r>
      <w:proofErr w:type="gramEnd"/>
      <w:r w:rsidR="00517FB9">
        <w:rPr>
          <w:rFonts w:ascii="Arial" w:hAnsi="Arial" w:cs="Arial"/>
          <w:lang w:val="en-AU"/>
        </w:rPr>
        <w:t xml:space="preserve"> quotation </w:t>
      </w:r>
      <w:r w:rsidRPr="00FE1D8F">
        <w:rPr>
          <w:rFonts w:ascii="Arial" w:hAnsi="Arial" w:cs="Arial"/>
          <w:lang w:val="en-AU"/>
        </w:rPr>
        <w:t>omitted)).  This means that in a postjudgment discovery context, "</w:t>
      </w:r>
      <w:proofErr w:type="gramStart"/>
      <w:r w:rsidRPr="00FE1D8F">
        <w:rPr>
          <w:rFonts w:ascii="Arial" w:hAnsi="Arial" w:cs="Arial"/>
          <w:lang w:val="en-AU"/>
        </w:rPr>
        <w:t>the</w:t>
      </w:r>
      <w:proofErr w:type="gramEnd"/>
      <w:r w:rsidRPr="00FE1D8F">
        <w:rPr>
          <w:rFonts w:ascii="Arial" w:hAnsi="Arial" w:cs="Arial"/>
          <w:lang w:val="en-AU"/>
        </w:rPr>
        <w:t xml:space="preserve"> creditor has the right to discover </w:t>
      </w:r>
      <w:r w:rsidRPr="00FE1D8F">
        <w:rPr>
          <w:rFonts w:ascii="Arial" w:hAnsi="Arial" w:cs="Arial"/>
          <w:i/>
          <w:lang w:val="en-AU"/>
        </w:rPr>
        <w:t>any</w:t>
      </w:r>
      <w:r w:rsidRPr="00FE1D8F">
        <w:rPr>
          <w:rFonts w:ascii="Arial" w:hAnsi="Arial" w:cs="Arial"/>
          <w:lang w:val="en-AU"/>
        </w:rPr>
        <w:t xml:space="preserve"> assets the debtor might have that could be subject to levy or execution to satisfy the judgment, </w:t>
      </w:r>
      <w:r w:rsidRPr="00FE1D8F">
        <w:rPr>
          <w:rFonts w:ascii="Arial" w:hAnsi="Arial" w:cs="Arial"/>
          <w:i/>
          <w:lang w:val="en-AU"/>
        </w:rPr>
        <w:t>or assets that the debtor might have recently transferred</w:t>
      </w:r>
      <w:r w:rsidRPr="00FE1D8F">
        <w:rPr>
          <w:rFonts w:ascii="Arial" w:hAnsi="Arial" w:cs="Arial"/>
          <w:lang w:val="en-AU"/>
        </w:rPr>
        <w:t xml:space="preserve">."  </w:t>
      </w:r>
      <w:r w:rsidRPr="00FE1D8F">
        <w:rPr>
          <w:rFonts w:ascii="Arial" w:hAnsi="Arial" w:cs="Arial"/>
          <w:u w:val="single"/>
          <w:lang w:val="en-AU"/>
        </w:rPr>
        <w:t xml:space="preserve">MDG Frank </w:t>
      </w:r>
      <w:proofErr w:type="spellStart"/>
      <w:r w:rsidRPr="00FE1D8F">
        <w:rPr>
          <w:rFonts w:ascii="Arial" w:hAnsi="Arial" w:cs="Arial"/>
          <w:u w:val="single"/>
          <w:lang w:val="en-AU"/>
        </w:rPr>
        <w:t>Helmerich</w:t>
      </w:r>
      <w:proofErr w:type="spellEnd"/>
      <w:r w:rsidRPr="00FE1D8F">
        <w:rPr>
          <w:rFonts w:ascii="Arial" w:hAnsi="Arial" w:cs="Arial"/>
          <w:u w:val="single"/>
          <w:lang w:val="en-AU"/>
        </w:rPr>
        <w:t>, LLC</w:t>
      </w:r>
      <w:r w:rsidRPr="00FE1D8F">
        <w:rPr>
          <w:rFonts w:ascii="Arial" w:hAnsi="Arial" w:cs="Arial"/>
          <w:lang w:val="en-AU"/>
        </w:rPr>
        <w:t>, 118 So. 3d at 9</w:t>
      </w:r>
      <w:r w:rsidR="00573D98">
        <w:rPr>
          <w:rFonts w:ascii="Arial" w:hAnsi="Arial" w:cs="Arial"/>
          <w:lang w:val="en-AU"/>
        </w:rPr>
        <w:t xml:space="preserve">70 </w:t>
      </w:r>
      <w:r w:rsidR="00573D98" w:rsidRPr="00FE1D8F">
        <w:rPr>
          <w:rFonts w:ascii="Arial" w:hAnsi="Arial" w:cs="Arial"/>
          <w:lang w:val="en-AU"/>
        </w:rPr>
        <w:t>(emphasis added).</w:t>
      </w:r>
    </w:p>
    <w:p w:rsidR="00FE1D8F" w:rsidRPr="00FE1D8F" w:rsidRDefault="00FE1D8F" w:rsidP="00FE1D8F">
      <w:pPr>
        <w:tabs>
          <w:tab w:val="left" w:pos="1440"/>
        </w:tabs>
        <w:spacing w:line="480" w:lineRule="auto"/>
        <w:rPr>
          <w:rFonts w:ascii="Arial" w:hAnsi="Arial" w:cs="Arial"/>
          <w:lang w:val="en-AU"/>
        </w:rPr>
      </w:pPr>
      <w:r w:rsidRPr="00FE1D8F">
        <w:rPr>
          <w:rFonts w:ascii="Arial" w:hAnsi="Arial" w:cs="Arial"/>
          <w:lang w:val="en-AU"/>
        </w:rPr>
        <w:tab/>
        <w:t>Venetian argues that the broad postjudgment discovery rule does not apply here and that the Harrisons are merely on a "fishing expedition."  Bu</w:t>
      </w:r>
      <w:r w:rsidR="00573D98">
        <w:rPr>
          <w:rFonts w:ascii="Arial" w:hAnsi="Arial" w:cs="Arial"/>
          <w:lang w:val="en-AU"/>
        </w:rPr>
        <w:t>t while we agree that generally</w:t>
      </w:r>
      <w:r w:rsidRPr="00FE1D8F">
        <w:rPr>
          <w:rFonts w:ascii="Arial" w:hAnsi="Arial" w:cs="Arial"/>
          <w:lang w:val="en-AU"/>
        </w:rPr>
        <w:t xml:space="preserve"> "discovery in aid of execution cannot be used to pry into the assets and business of persons other than the judgment debtor," we have also held that a </w:t>
      </w:r>
      <w:proofErr w:type="spellStart"/>
      <w:r w:rsidRPr="00FE1D8F">
        <w:rPr>
          <w:rFonts w:ascii="Arial" w:hAnsi="Arial" w:cs="Arial"/>
          <w:lang w:val="en-AU"/>
        </w:rPr>
        <w:t>nonparty</w:t>
      </w:r>
      <w:proofErr w:type="spellEnd"/>
      <w:r w:rsidRPr="00FE1D8F">
        <w:rPr>
          <w:rFonts w:ascii="Arial" w:hAnsi="Arial" w:cs="Arial"/>
          <w:lang w:val="en-AU"/>
        </w:rPr>
        <w:t xml:space="preserve"> may be subject to postjudgment discovery where the "judgment creditor can provide a good reason and close link between the unrelated entity and the judgment debtor."  </w:t>
      </w:r>
      <w:r w:rsidRPr="00FE1D8F">
        <w:rPr>
          <w:rFonts w:ascii="Arial" w:hAnsi="Arial" w:cs="Arial"/>
          <w:u w:val="single"/>
          <w:lang w:val="en-AU"/>
        </w:rPr>
        <w:t>Gen. Elec. Capital Corp.</w:t>
      </w:r>
      <w:r w:rsidRPr="00FE1D8F">
        <w:rPr>
          <w:rFonts w:ascii="Arial" w:hAnsi="Arial" w:cs="Arial"/>
          <w:lang w:val="en-AU"/>
        </w:rPr>
        <w:t xml:space="preserve">, 124 So. 3d at 942.  </w:t>
      </w:r>
    </w:p>
    <w:p w:rsidR="00FE1D8F" w:rsidRPr="00FE1D8F" w:rsidRDefault="00FE1D8F" w:rsidP="00FE1D8F">
      <w:pPr>
        <w:tabs>
          <w:tab w:val="left" w:pos="1440"/>
        </w:tabs>
        <w:spacing w:line="480" w:lineRule="auto"/>
        <w:rPr>
          <w:rFonts w:ascii="Arial" w:hAnsi="Arial" w:cs="Arial"/>
          <w:lang w:val="en-AU"/>
        </w:rPr>
      </w:pPr>
      <w:r w:rsidRPr="00FE1D8F">
        <w:rPr>
          <w:rFonts w:ascii="Arial" w:hAnsi="Arial" w:cs="Arial"/>
          <w:lang w:val="en-AU"/>
        </w:rPr>
        <w:tab/>
        <w:t xml:space="preserve">In </w:t>
      </w:r>
      <w:r w:rsidRPr="00FE1D8F">
        <w:rPr>
          <w:rFonts w:ascii="Arial" w:hAnsi="Arial" w:cs="Arial"/>
          <w:u w:val="single"/>
          <w:lang w:val="en-AU"/>
        </w:rPr>
        <w:t>General Electric Capital Corp</w:t>
      </w:r>
      <w:r w:rsidR="00200D04">
        <w:rPr>
          <w:rFonts w:ascii="Arial" w:hAnsi="Arial" w:cs="Arial"/>
          <w:u w:val="single"/>
          <w:lang w:val="en-AU"/>
        </w:rPr>
        <w:t>.</w:t>
      </w:r>
      <w:r w:rsidRPr="00FE1D8F">
        <w:rPr>
          <w:rFonts w:ascii="Arial" w:hAnsi="Arial" w:cs="Arial"/>
          <w:lang w:val="en-AU"/>
        </w:rPr>
        <w:t xml:space="preserve">, we granted certiorari and quashed an order permitting discovery against a </w:t>
      </w:r>
      <w:proofErr w:type="spellStart"/>
      <w:r w:rsidRPr="00FE1D8F">
        <w:rPr>
          <w:rFonts w:ascii="Arial" w:hAnsi="Arial" w:cs="Arial"/>
          <w:lang w:val="en-AU"/>
        </w:rPr>
        <w:t>nonparty</w:t>
      </w:r>
      <w:proofErr w:type="spellEnd"/>
      <w:r w:rsidRPr="00FE1D8F">
        <w:rPr>
          <w:rFonts w:ascii="Arial" w:hAnsi="Arial" w:cs="Arial"/>
          <w:lang w:val="en-AU"/>
        </w:rPr>
        <w:t xml:space="preserve">.  </w:t>
      </w:r>
      <w:r w:rsidRPr="00FE1D8F">
        <w:rPr>
          <w:rFonts w:ascii="Arial" w:hAnsi="Arial" w:cs="Arial"/>
          <w:u w:val="single"/>
          <w:lang w:val="en-AU"/>
        </w:rPr>
        <w:t>Id.</w:t>
      </w:r>
      <w:r w:rsidRPr="00FE1D8F">
        <w:rPr>
          <w:rFonts w:ascii="Arial" w:hAnsi="Arial" w:cs="Arial"/>
          <w:lang w:val="en-AU"/>
        </w:rPr>
        <w:t xml:space="preserve"> at 943.  Our decision was based on the facts that no judgment had been entered against the </w:t>
      </w:r>
      <w:proofErr w:type="spellStart"/>
      <w:r w:rsidRPr="00FE1D8F">
        <w:rPr>
          <w:rFonts w:ascii="Arial" w:hAnsi="Arial" w:cs="Arial"/>
          <w:lang w:val="en-AU"/>
        </w:rPr>
        <w:t>nonparty</w:t>
      </w:r>
      <w:proofErr w:type="spellEnd"/>
      <w:r w:rsidRPr="00FE1D8F">
        <w:rPr>
          <w:rFonts w:ascii="Arial" w:hAnsi="Arial" w:cs="Arial"/>
          <w:lang w:val="en-AU"/>
        </w:rPr>
        <w:t xml:space="preserve">, the relationship between the </w:t>
      </w:r>
      <w:proofErr w:type="spellStart"/>
      <w:r w:rsidRPr="00FE1D8F">
        <w:rPr>
          <w:rFonts w:ascii="Arial" w:hAnsi="Arial" w:cs="Arial"/>
          <w:lang w:val="en-AU"/>
        </w:rPr>
        <w:t>nonparty</w:t>
      </w:r>
      <w:proofErr w:type="spellEnd"/>
      <w:r w:rsidRPr="00FE1D8F">
        <w:rPr>
          <w:rFonts w:ascii="Arial" w:hAnsi="Arial" w:cs="Arial"/>
          <w:lang w:val="en-AU"/>
        </w:rPr>
        <w:t xml:space="preserve"> and the judgment debtor had been remote even when in existence, and there was no relationship between the </w:t>
      </w:r>
      <w:proofErr w:type="spellStart"/>
      <w:r w:rsidRPr="00FE1D8F">
        <w:rPr>
          <w:rFonts w:ascii="Arial" w:hAnsi="Arial" w:cs="Arial"/>
          <w:lang w:val="en-AU"/>
        </w:rPr>
        <w:t>nonparty</w:t>
      </w:r>
      <w:proofErr w:type="spellEnd"/>
      <w:r w:rsidRPr="00FE1D8F">
        <w:rPr>
          <w:rFonts w:ascii="Arial" w:hAnsi="Arial" w:cs="Arial"/>
          <w:lang w:val="en-AU"/>
        </w:rPr>
        <w:t xml:space="preserve"> and the judgment debtor at the time of the discovery request.  </w:t>
      </w:r>
      <w:r w:rsidRPr="00FE1D8F">
        <w:rPr>
          <w:rFonts w:ascii="Arial" w:hAnsi="Arial" w:cs="Arial"/>
          <w:u w:val="single"/>
          <w:lang w:val="en-AU"/>
        </w:rPr>
        <w:t>Id.</w:t>
      </w:r>
      <w:r w:rsidRPr="00FE1D8F">
        <w:rPr>
          <w:rFonts w:ascii="Arial" w:hAnsi="Arial" w:cs="Arial"/>
          <w:lang w:val="en-AU"/>
        </w:rPr>
        <w:t xml:space="preserve"> at 942.  Thus we concluded that the judgment creditor had </w:t>
      </w:r>
      <w:r w:rsidR="00517FB9" w:rsidRPr="00FE1D8F">
        <w:rPr>
          <w:rFonts w:ascii="Arial" w:hAnsi="Arial" w:cs="Arial"/>
          <w:lang w:val="en-AU"/>
        </w:rPr>
        <w:t>"</w:t>
      </w:r>
      <w:r w:rsidRPr="00FE1D8F">
        <w:rPr>
          <w:rFonts w:ascii="Arial" w:hAnsi="Arial" w:cs="Arial"/>
          <w:lang w:val="en-AU"/>
        </w:rPr>
        <w:t xml:space="preserve">not laid the proper predicate" for the discovery requests.  </w:t>
      </w:r>
      <w:r w:rsidRPr="00FE1D8F">
        <w:rPr>
          <w:rFonts w:ascii="Arial" w:hAnsi="Arial" w:cs="Arial"/>
          <w:u w:val="single"/>
          <w:lang w:val="en-AU"/>
        </w:rPr>
        <w:t>Id.</w:t>
      </w:r>
      <w:r w:rsidRPr="00FE1D8F">
        <w:rPr>
          <w:rFonts w:ascii="Arial" w:hAnsi="Arial" w:cs="Arial"/>
          <w:lang w:val="en-AU"/>
        </w:rPr>
        <w:t xml:space="preserve"> at 943.  </w:t>
      </w:r>
    </w:p>
    <w:p w:rsidR="00FE1D8F" w:rsidRPr="00FE1D8F" w:rsidRDefault="00FE1D8F" w:rsidP="00FE1D8F">
      <w:pPr>
        <w:tabs>
          <w:tab w:val="left" w:pos="1440"/>
        </w:tabs>
        <w:spacing w:line="480" w:lineRule="auto"/>
        <w:rPr>
          <w:rFonts w:ascii="Arial" w:hAnsi="Arial" w:cs="Arial"/>
          <w:lang w:val="en-AU"/>
        </w:rPr>
      </w:pPr>
      <w:r w:rsidRPr="00FE1D8F">
        <w:rPr>
          <w:rFonts w:ascii="Arial" w:hAnsi="Arial" w:cs="Arial"/>
          <w:lang w:val="en-AU"/>
        </w:rPr>
        <w:tab/>
        <w:t xml:space="preserve">Here, we conclude that the Harrisons have established more than just a remote link between Bateman and Venetian.  The public records relied upon by the </w:t>
      </w:r>
      <w:r w:rsidRPr="00FE1D8F">
        <w:rPr>
          <w:rFonts w:ascii="Arial" w:hAnsi="Arial" w:cs="Arial"/>
          <w:lang w:val="en-AU"/>
        </w:rPr>
        <w:lastRenderedPageBreak/>
        <w:t xml:space="preserve">Harrisons revealed that subsequent to Bateman's default, Venetian engaged in at least one name change and the appointment of new corporate officers to one of the Venetian entities.  The records also revealed that </w:t>
      </w:r>
      <w:proofErr w:type="spellStart"/>
      <w:r w:rsidRPr="00FE1D8F">
        <w:rPr>
          <w:rFonts w:ascii="Arial" w:hAnsi="Arial" w:cs="Arial"/>
          <w:lang w:val="en-AU"/>
        </w:rPr>
        <w:t>Mr.</w:t>
      </w:r>
      <w:proofErr w:type="spellEnd"/>
      <w:r w:rsidRPr="00FE1D8F">
        <w:rPr>
          <w:rFonts w:ascii="Arial" w:hAnsi="Arial" w:cs="Arial"/>
          <w:lang w:val="en-AU"/>
        </w:rPr>
        <w:t xml:space="preserve"> </w:t>
      </w:r>
      <w:proofErr w:type="spellStart"/>
      <w:r w:rsidRPr="00FE1D8F">
        <w:rPr>
          <w:rFonts w:ascii="Arial" w:hAnsi="Arial" w:cs="Arial"/>
          <w:lang w:val="en-AU"/>
        </w:rPr>
        <w:t>Bessette</w:t>
      </w:r>
      <w:proofErr w:type="spellEnd"/>
      <w:r w:rsidRPr="00FE1D8F">
        <w:rPr>
          <w:rFonts w:ascii="Arial" w:hAnsi="Arial" w:cs="Arial"/>
          <w:lang w:val="en-AU"/>
        </w:rPr>
        <w:t xml:space="preserve"> was affiliated with at least three Venetian entities and </w:t>
      </w:r>
      <w:r w:rsidR="00573D98">
        <w:rPr>
          <w:rFonts w:ascii="Arial" w:hAnsi="Arial" w:cs="Arial"/>
          <w:lang w:val="en-AU"/>
        </w:rPr>
        <w:t xml:space="preserve">that </w:t>
      </w:r>
      <w:r w:rsidRPr="00FE1D8F">
        <w:rPr>
          <w:rFonts w:ascii="Arial" w:hAnsi="Arial" w:cs="Arial"/>
          <w:lang w:val="en-AU"/>
        </w:rPr>
        <w:t>he provided the same mailing address for both 2245 Venetian Court Building 4, Inc., and San Marino Properties, LLC.  Although the link between Bateman and San Marino Properties, LLC, is not as strong as the link between Bateman and the other Venetian entities, judgment creditors are allowed "broad discovery into [a] debtor's finances . . . even if the discovery concerns pro</w:t>
      </w:r>
      <w:r w:rsidR="00573D98">
        <w:rPr>
          <w:rFonts w:ascii="Arial" w:hAnsi="Arial" w:cs="Arial"/>
          <w:lang w:val="en-AU"/>
        </w:rPr>
        <w:t>perty jointly owned with others,</w:t>
      </w:r>
      <w:r w:rsidRPr="00FE1D8F">
        <w:rPr>
          <w:rFonts w:ascii="Arial" w:hAnsi="Arial" w:cs="Arial"/>
          <w:lang w:val="en-AU"/>
        </w:rPr>
        <w:t xml:space="preserve">" particularly where "there are indications that the debtor might have individual assets or might have recently transferred assets that would otherwise be available for levy."  </w:t>
      </w:r>
      <w:r w:rsidRPr="00FE1D8F">
        <w:rPr>
          <w:rFonts w:ascii="Arial" w:hAnsi="Arial" w:cs="Arial"/>
          <w:u w:val="single"/>
          <w:lang w:val="en-AU"/>
        </w:rPr>
        <w:t xml:space="preserve">Jim </w:t>
      </w:r>
      <w:proofErr w:type="spellStart"/>
      <w:r w:rsidRPr="00FE1D8F">
        <w:rPr>
          <w:rFonts w:ascii="Arial" w:hAnsi="Arial" w:cs="Arial"/>
          <w:u w:val="single"/>
          <w:lang w:val="en-AU"/>
        </w:rPr>
        <w:t>Appley's</w:t>
      </w:r>
      <w:proofErr w:type="spellEnd"/>
      <w:r w:rsidRPr="00FE1D8F">
        <w:rPr>
          <w:rFonts w:ascii="Arial" w:hAnsi="Arial" w:cs="Arial"/>
          <w:u w:val="single"/>
          <w:lang w:val="en-AU"/>
        </w:rPr>
        <w:t xml:space="preserve"> </w:t>
      </w:r>
      <w:proofErr w:type="spellStart"/>
      <w:r w:rsidRPr="00FE1D8F">
        <w:rPr>
          <w:rFonts w:ascii="Arial" w:hAnsi="Arial" w:cs="Arial"/>
          <w:u w:val="single"/>
          <w:lang w:val="en-AU"/>
        </w:rPr>
        <w:t>Tru</w:t>
      </w:r>
      <w:proofErr w:type="spellEnd"/>
      <w:r w:rsidRPr="00FE1D8F">
        <w:rPr>
          <w:rFonts w:ascii="Arial" w:hAnsi="Arial" w:cs="Arial"/>
          <w:u w:val="single"/>
          <w:lang w:val="en-AU"/>
        </w:rPr>
        <w:t>-Arc, Inc. v. Liquid Extraction Sys. Ltd. P'ship</w:t>
      </w:r>
      <w:r w:rsidRPr="00FE1D8F">
        <w:rPr>
          <w:rFonts w:ascii="Arial" w:hAnsi="Arial" w:cs="Arial"/>
          <w:lang w:val="en-AU"/>
        </w:rPr>
        <w:t xml:space="preserve">, 526 So. 2d 177, 179 (Fla. 2d DCA 1988).   </w:t>
      </w:r>
    </w:p>
    <w:p w:rsidR="00FE1D8F" w:rsidRPr="00FE1D8F" w:rsidRDefault="00FE1D8F" w:rsidP="00FE1D8F">
      <w:pPr>
        <w:tabs>
          <w:tab w:val="left" w:pos="1440"/>
        </w:tabs>
        <w:spacing w:line="480" w:lineRule="auto"/>
        <w:rPr>
          <w:rFonts w:ascii="Arial" w:hAnsi="Arial" w:cs="Arial"/>
          <w:lang w:val="en-AU"/>
        </w:rPr>
      </w:pPr>
      <w:r w:rsidRPr="00FE1D8F">
        <w:rPr>
          <w:rFonts w:ascii="Arial" w:hAnsi="Arial" w:cs="Arial"/>
          <w:lang w:val="en-AU"/>
        </w:rPr>
        <w:tab/>
        <w:t xml:space="preserve">Venetian points out that the Harrisons did not bring a separate claim for fraudulent transfer, but we do not think that fact is dispositive.  As we noted in </w:t>
      </w:r>
      <w:r w:rsidRPr="00FE1D8F">
        <w:rPr>
          <w:rFonts w:ascii="Arial" w:hAnsi="Arial" w:cs="Arial"/>
          <w:u w:val="single"/>
          <w:lang w:val="en-AU"/>
        </w:rPr>
        <w:t>General Electric Capital Corp</w:t>
      </w:r>
      <w:r w:rsidR="00573D98">
        <w:rPr>
          <w:rFonts w:ascii="Arial" w:hAnsi="Arial" w:cs="Arial"/>
          <w:u w:val="single"/>
          <w:lang w:val="en-AU"/>
        </w:rPr>
        <w:t>.</w:t>
      </w:r>
      <w:r w:rsidRPr="00FE1D8F">
        <w:rPr>
          <w:rFonts w:ascii="Arial" w:hAnsi="Arial" w:cs="Arial"/>
          <w:lang w:val="en-AU"/>
        </w:rPr>
        <w:t xml:space="preserve">, the requesting party must establish the proper predicate for purposes of serving discovery on a </w:t>
      </w:r>
      <w:proofErr w:type="spellStart"/>
      <w:r w:rsidRPr="00FE1D8F">
        <w:rPr>
          <w:rFonts w:ascii="Arial" w:hAnsi="Arial" w:cs="Arial"/>
          <w:lang w:val="en-AU"/>
        </w:rPr>
        <w:t>nonparty</w:t>
      </w:r>
      <w:proofErr w:type="spellEnd"/>
      <w:r w:rsidRPr="00FE1D8F">
        <w:rPr>
          <w:rFonts w:ascii="Arial" w:hAnsi="Arial" w:cs="Arial"/>
          <w:lang w:val="en-AU"/>
        </w:rPr>
        <w:t xml:space="preserve">.  124 So. 3d at 943.  However, we did not go so far as to require a claim for malfeasance against the </w:t>
      </w:r>
      <w:proofErr w:type="spellStart"/>
      <w:r w:rsidRPr="00FE1D8F">
        <w:rPr>
          <w:rFonts w:ascii="Arial" w:hAnsi="Arial" w:cs="Arial"/>
          <w:lang w:val="en-AU"/>
        </w:rPr>
        <w:t>nonjudgment</w:t>
      </w:r>
      <w:proofErr w:type="spellEnd"/>
      <w:r w:rsidRPr="00FE1D8F">
        <w:rPr>
          <w:rFonts w:ascii="Arial" w:hAnsi="Arial" w:cs="Arial"/>
          <w:lang w:val="en-AU"/>
        </w:rPr>
        <w:t xml:space="preserve"> debtor in the pleadings.  Rather, we determined that the requesting party must only provide a "good reason and close link" between the </w:t>
      </w:r>
      <w:proofErr w:type="spellStart"/>
      <w:r w:rsidRPr="00FE1D8F">
        <w:rPr>
          <w:rFonts w:ascii="Arial" w:hAnsi="Arial" w:cs="Arial"/>
          <w:lang w:val="en-AU"/>
        </w:rPr>
        <w:t>nonparty</w:t>
      </w:r>
      <w:proofErr w:type="spellEnd"/>
      <w:r w:rsidRPr="00FE1D8F">
        <w:rPr>
          <w:rFonts w:ascii="Arial" w:hAnsi="Arial" w:cs="Arial"/>
          <w:lang w:val="en-AU"/>
        </w:rPr>
        <w:t xml:space="preserve"> and judgment debtor.  </w:t>
      </w:r>
      <w:r w:rsidRPr="00FE1D8F">
        <w:rPr>
          <w:rFonts w:ascii="Arial" w:hAnsi="Arial" w:cs="Arial"/>
          <w:u w:val="single"/>
          <w:lang w:val="en-AU"/>
        </w:rPr>
        <w:t>Id.</w:t>
      </w:r>
      <w:r w:rsidRPr="00FE1D8F">
        <w:rPr>
          <w:rFonts w:ascii="Arial" w:hAnsi="Arial" w:cs="Arial"/>
          <w:lang w:val="en-AU"/>
        </w:rPr>
        <w:t xml:space="preserve"> at 942.  We reject Venetian's attempts to apply prejudgment discovery case law to this issue</w:t>
      </w:r>
      <w:r w:rsidR="00573D98">
        <w:rPr>
          <w:rFonts w:ascii="Arial" w:hAnsi="Arial" w:cs="Arial"/>
          <w:lang w:val="en-AU"/>
        </w:rPr>
        <w:t>,</w:t>
      </w:r>
      <w:r w:rsidRPr="00FE1D8F">
        <w:rPr>
          <w:rFonts w:ascii="Arial" w:hAnsi="Arial" w:cs="Arial"/>
          <w:lang w:val="en-AU"/>
        </w:rPr>
        <w:t xml:space="preserve"> and we conclude that the Harrisons established a "good reason and close link" between Bateman and Venetian, thereby entitling them to discovery of the requested </w:t>
      </w:r>
      <w:r w:rsidRPr="00FE1D8F">
        <w:rPr>
          <w:rFonts w:ascii="Arial" w:hAnsi="Arial" w:cs="Arial"/>
          <w:lang w:val="en-AU"/>
        </w:rPr>
        <w:lastRenderedPageBreak/>
        <w:t>documents.</w:t>
      </w:r>
      <w:r w:rsidRPr="00FE1D8F">
        <w:rPr>
          <w:rStyle w:val="FootnoteReference"/>
          <w:rFonts w:ascii="Arial" w:hAnsi="Arial" w:cs="Arial"/>
          <w:lang w:val="en-AU"/>
        </w:rPr>
        <w:footnoteReference w:id="2"/>
      </w:r>
      <w:r w:rsidRPr="00FE1D8F">
        <w:rPr>
          <w:rFonts w:ascii="Arial" w:hAnsi="Arial" w:cs="Arial"/>
          <w:lang w:val="en-AU"/>
        </w:rPr>
        <w:t xml:space="preserve">  However, this does not end our analysis because Venetian raises alternative arguments relating to a constitutional right to privacy and the lack of an evidentiary hearing that we must address.  </w:t>
      </w:r>
    </w:p>
    <w:p w:rsidR="00FE1D8F" w:rsidRPr="00FE1D8F" w:rsidRDefault="00FE1D8F" w:rsidP="00005023">
      <w:pPr>
        <w:pStyle w:val="Heading1"/>
      </w:pPr>
      <w:r w:rsidRPr="00FE1D8F">
        <w:t>Constitutional Right to Privacy</w:t>
      </w:r>
    </w:p>
    <w:p w:rsidR="00662156" w:rsidRDefault="00662156" w:rsidP="00662156">
      <w:pPr>
        <w:tabs>
          <w:tab w:val="left" w:pos="1440"/>
        </w:tabs>
        <w:spacing w:line="480" w:lineRule="auto"/>
        <w:rPr>
          <w:rFonts w:ascii="Arial" w:hAnsi="Arial" w:cs="Arial"/>
          <w:lang w:val="en-AU"/>
        </w:rPr>
      </w:pPr>
      <w:r>
        <w:rPr>
          <w:rFonts w:ascii="Arial" w:hAnsi="Arial" w:cs="Arial"/>
          <w:lang w:val="en-AU"/>
        </w:rPr>
        <w:tab/>
      </w:r>
      <w:r w:rsidR="00FE1D8F" w:rsidRPr="00FE1D8F">
        <w:rPr>
          <w:rFonts w:ascii="Arial" w:hAnsi="Arial" w:cs="Arial"/>
          <w:lang w:val="en-AU"/>
        </w:rPr>
        <w:t>Venetian contends that Article I, section 23 of the Florida Constitution provides a right of privacy that applies to financial records in the absence of a relevant and compelling reason to compel disclosure.  Venetian also contends that it may assert this right on behalf of its shareholders, officers, and directors.</w:t>
      </w:r>
      <w:r>
        <w:rPr>
          <w:rFonts w:ascii="Arial" w:hAnsi="Arial" w:cs="Arial"/>
          <w:lang w:val="en-AU"/>
        </w:rPr>
        <w:t xml:space="preserve">  </w:t>
      </w:r>
    </w:p>
    <w:p w:rsidR="00FE1D8F" w:rsidRPr="00FE1D8F" w:rsidRDefault="00662156" w:rsidP="00662156">
      <w:pPr>
        <w:tabs>
          <w:tab w:val="left" w:pos="1440"/>
        </w:tabs>
        <w:spacing w:line="480" w:lineRule="auto"/>
        <w:rPr>
          <w:rFonts w:ascii="Arial" w:hAnsi="Arial" w:cs="Arial"/>
          <w:lang w:val="en-AU"/>
        </w:rPr>
      </w:pPr>
      <w:r>
        <w:rPr>
          <w:rFonts w:ascii="Arial" w:hAnsi="Arial" w:cs="Arial"/>
          <w:lang w:val="en-AU"/>
        </w:rPr>
        <w:tab/>
      </w:r>
      <w:r w:rsidR="00FE1D8F" w:rsidRPr="00FE1D8F">
        <w:rPr>
          <w:rFonts w:ascii="Arial" w:hAnsi="Arial" w:cs="Arial"/>
          <w:lang w:val="en-AU"/>
        </w:rPr>
        <w:t xml:space="preserve">We note that ordinarily, corporations cannot raise the privacy rights of third parties unless they (the corporations) meet the third-party standing test enunciated in </w:t>
      </w:r>
      <w:proofErr w:type="spellStart"/>
      <w:r w:rsidR="00FE1D8F" w:rsidRPr="00FE1D8F">
        <w:rPr>
          <w:rFonts w:ascii="Arial" w:hAnsi="Arial" w:cs="Arial"/>
          <w:u w:val="single"/>
          <w:lang w:val="en-AU"/>
        </w:rPr>
        <w:lastRenderedPageBreak/>
        <w:t>Alterra</w:t>
      </w:r>
      <w:proofErr w:type="spellEnd"/>
      <w:r w:rsidR="00FE1D8F" w:rsidRPr="00FE1D8F">
        <w:rPr>
          <w:rFonts w:ascii="Arial" w:hAnsi="Arial" w:cs="Arial"/>
          <w:u w:val="single"/>
          <w:lang w:val="en-AU"/>
        </w:rPr>
        <w:t xml:space="preserve"> Healthcare Corp</w:t>
      </w:r>
      <w:r w:rsidR="00573D98">
        <w:rPr>
          <w:rFonts w:ascii="Arial" w:hAnsi="Arial" w:cs="Arial"/>
          <w:u w:val="single"/>
          <w:lang w:val="en-AU"/>
        </w:rPr>
        <w:t>.</w:t>
      </w:r>
      <w:r w:rsidR="00FE1D8F" w:rsidRPr="00FE1D8F">
        <w:rPr>
          <w:rFonts w:ascii="Arial" w:hAnsi="Arial" w:cs="Arial"/>
          <w:u w:val="single"/>
          <w:lang w:val="en-AU"/>
        </w:rPr>
        <w:t xml:space="preserve"> v. Estate of Shelley</w:t>
      </w:r>
      <w:r w:rsidR="00FE1D8F" w:rsidRPr="00FE1D8F">
        <w:rPr>
          <w:rFonts w:ascii="Arial" w:hAnsi="Arial" w:cs="Arial"/>
          <w:lang w:val="en-AU"/>
        </w:rPr>
        <w:t xml:space="preserve">, 827 </w:t>
      </w:r>
      <w:proofErr w:type="gramStart"/>
      <w:r w:rsidR="00FE1D8F" w:rsidRPr="00FE1D8F">
        <w:rPr>
          <w:rFonts w:ascii="Arial" w:hAnsi="Arial" w:cs="Arial"/>
          <w:lang w:val="en-AU"/>
        </w:rPr>
        <w:t>So</w:t>
      </w:r>
      <w:proofErr w:type="gramEnd"/>
      <w:r w:rsidR="00FE1D8F" w:rsidRPr="00FE1D8F">
        <w:rPr>
          <w:rFonts w:ascii="Arial" w:hAnsi="Arial" w:cs="Arial"/>
          <w:lang w:val="en-AU"/>
        </w:rPr>
        <w:t xml:space="preserve">. 2d 936 (Fla. 2002).  However, even in the absence of third-party standing, where a corporation objects to a discovery request on the basis of relevancy, a "trial court can consider the constitutional rights of third parties who would be substantially affected by the outcome of the litigation."  </w:t>
      </w:r>
      <w:r w:rsidR="00FE1D8F" w:rsidRPr="00FE1D8F">
        <w:rPr>
          <w:rFonts w:ascii="Arial" w:hAnsi="Arial" w:cs="Arial"/>
          <w:u w:val="single"/>
          <w:lang w:val="en-AU"/>
        </w:rPr>
        <w:t>Id.</w:t>
      </w:r>
      <w:r w:rsidR="00FE1D8F" w:rsidRPr="00FE1D8F">
        <w:rPr>
          <w:rFonts w:ascii="Arial" w:hAnsi="Arial" w:cs="Arial"/>
          <w:lang w:val="en-AU"/>
        </w:rPr>
        <w:t xml:space="preserve"> at 945.  </w:t>
      </w:r>
    </w:p>
    <w:p w:rsidR="00FE1D8F" w:rsidRPr="00FE1D8F" w:rsidRDefault="00FE1D8F" w:rsidP="00FE1D8F">
      <w:pPr>
        <w:tabs>
          <w:tab w:val="left" w:pos="1440"/>
        </w:tabs>
        <w:spacing w:line="480" w:lineRule="auto"/>
        <w:ind w:firstLine="1134"/>
        <w:rPr>
          <w:rFonts w:ascii="Arial" w:hAnsi="Arial" w:cs="Arial"/>
          <w:lang w:val="en-AU"/>
        </w:rPr>
      </w:pPr>
      <w:r w:rsidRPr="00FE1D8F">
        <w:rPr>
          <w:rFonts w:ascii="Arial" w:hAnsi="Arial" w:cs="Arial"/>
          <w:lang w:val="en-AU"/>
        </w:rPr>
        <w:t xml:space="preserve">There is no issue of third-party standing here.  Rather, the issue is one of relevancy.  Clearly, the documents requested were relevant to the Harrisons' attempt to discover any assets that Bateman had or that he had recently transferred in aid of execution of their judgment against him, especially where the Harrisons proffered a "good reason and close link" between Bateman and Venetian.  </w:t>
      </w:r>
      <w:r w:rsidRPr="00FE1D8F">
        <w:rPr>
          <w:rFonts w:ascii="Arial" w:hAnsi="Arial" w:cs="Arial"/>
          <w:u w:val="single"/>
          <w:lang w:val="en-AU"/>
        </w:rPr>
        <w:t>Gen. Elec. Cap</w:t>
      </w:r>
      <w:r w:rsidR="00573D98">
        <w:rPr>
          <w:rFonts w:ascii="Arial" w:hAnsi="Arial" w:cs="Arial"/>
          <w:u w:val="single"/>
          <w:lang w:val="en-AU"/>
        </w:rPr>
        <w:t>ital</w:t>
      </w:r>
      <w:r w:rsidRPr="00FE1D8F">
        <w:rPr>
          <w:rFonts w:ascii="Arial" w:hAnsi="Arial" w:cs="Arial"/>
          <w:u w:val="single"/>
          <w:lang w:val="en-AU"/>
        </w:rPr>
        <w:t xml:space="preserve"> Corp.</w:t>
      </w:r>
      <w:r w:rsidRPr="00FE1D8F">
        <w:rPr>
          <w:rFonts w:ascii="Arial" w:hAnsi="Arial" w:cs="Arial"/>
          <w:lang w:val="en-AU"/>
        </w:rPr>
        <w:t>, 124 So. 3d at 942.  The case law on which Venetian relies is factually distinguishable.</w:t>
      </w:r>
      <w:r w:rsidRPr="00FE1D8F">
        <w:rPr>
          <w:rStyle w:val="FootnoteReference"/>
          <w:rFonts w:ascii="Arial" w:hAnsi="Arial" w:cs="Arial"/>
          <w:lang w:val="en-AU"/>
        </w:rPr>
        <w:footnoteReference w:id="3"/>
      </w:r>
      <w:r w:rsidRPr="00FE1D8F">
        <w:rPr>
          <w:rFonts w:ascii="Arial" w:hAnsi="Arial" w:cs="Arial"/>
          <w:lang w:val="en-AU"/>
        </w:rPr>
        <w:t xml:space="preserve">  Thus we conclude that the discovery request here was not barred by any privacy interest of Venetian's shareholders, officers, and directors.  </w:t>
      </w:r>
    </w:p>
    <w:p w:rsidR="00FE1D8F" w:rsidRPr="00FE1D8F" w:rsidRDefault="00FE1D8F" w:rsidP="00005023">
      <w:pPr>
        <w:pStyle w:val="Heading1"/>
      </w:pPr>
      <w:r w:rsidRPr="00FE1D8F">
        <w:t>Lack of an Evidentiary Hearing</w:t>
      </w:r>
    </w:p>
    <w:p w:rsidR="00FE1D8F" w:rsidRPr="00FE1D8F" w:rsidRDefault="00FE1D8F" w:rsidP="00FE1D8F">
      <w:pPr>
        <w:tabs>
          <w:tab w:val="left" w:pos="1440"/>
        </w:tabs>
        <w:spacing w:line="480" w:lineRule="auto"/>
        <w:ind w:firstLine="1134"/>
        <w:rPr>
          <w:rFonts w:ascii="Arial" w:hAnsi="Arial" w:cs="Arial"/>
          <w:lang w:val="en-AU"/>
        </w:rPr>
      </w:pPr>
      <w:r w:rsidRPr="00FE1D8F">
        <w:rPr>
          <w:rFonts w:ascii="Arial" w:hAnsi="Arial" w:cs="Arial"/>
          <w:lang w:val="en-AU"/>
        </w:rPr>
        <w:lastRenderedPageBreak/>
        <w:t>Lastly, Venetian argues that the Harrisons were required to prove the relevancy of the requested documents at an evidentiary hearing.  Venetian asserts that the trial court erred by relying on the Harrisons' counsel's unsworn statements and the documents they provided relating to Bateman's link to Venetian.</w:t>
      </w:r>
    </w:p>
    <w:p w:rsidR="00FE1D8F" w:rsidRPr="00FE1D8F" w:rsidRDefault="00FE1D8F" w:rsidP="00FE1D8F">
      <w:pPr>
        <w:tabs>
          <w:tab w:val="left" w:pos="1440"/>
        </w:tabs>
        <w:spacing w:line="480" w:lineRule="auto"/>
        <w:ind w:firstLine="1134"/>
        <w:rPr>
          <w:rFonts w:ascii="Arial" w:hAnsi="Arial" w:cs="Arial"/>
          <w:lang w:val="en-AU"/>
        </w:rPr>
      </w:pPr>
      <w:r w:rsidRPr="00FE1D8F">
        <w:rPr>
          <w:rFonts w:ascii="Arial" w:hAnsi="Arial" w:cs="Arial"/>
          <w:lang w:val="en-AU"/>
        </w:rPr>
        <w:t xml:space="preserve">We acknowledge that this court, as well as other Florida courts, have suggested that evidentiary hearings are necessary to determine the relevancy issue.  </w:t>
      </w:r>
      <w:r w:rsidRPr="00FE1D8F">
        <w:rPr>
          <w:rFonts w:ascii="Arial" w:hAnsi="Arial" w:cs="Arial"/>
          <w:u w:val="single"/>
          <w:lang w:val="en-AU"/>
        </w:rPr>
        <w:t>See, e.g.</w:t>
      </w:r>
      <w:r w:rsidRPr="00FE1D8F">
        <w:rPr>
          <w:rFonts w:ascii="Arial" w:hAnsi="Arial" w:cs="Arial"/>
          <w:lang w:val="en-AU"/>
        </w:rPr>
        <w:t xml:space="preserve">, </w:t>
      </w:r>
      <w:r w:rsidRPr="00FE1D8F">
        <w:rPr>
          <w:rFonts w:ascii="Arial" w:hAnsi="Arial" w:cs="Arial"/>
          <w:u w:val="single"/>
          <w:lang w:val="en-AU"/>
        </w:rPr>
        <w:t>Rowe v. Rodriguez-Schmidt</w:t>
      </w:r>
      <w:r w:rsidRPr="00FE1D8F">
        <w:rPr>
          <w:rFonts w:ascii="Arial" w:hAnsi="Arial" w:cs="Arial"/>
          <w:lang w:val="en-AU"/>
        </w:rPr>
        <w:t xml:space="preserve">, 89 So. 3d 1101, 1103-04 (Fla. 2d DCA 2012); </w:t>
      </w:r>
      <w:r w:rsidRPr="00FE1D8F">
        <w:rPr>
          <w:rFonts w:ascii="Arial" w:hAnsi="Arial" w:cs="Arial"/>
          <w:u w:val="single"/>
          <w:lang w:val="en-AU"/>
        </w:rPr>
        <w:t xml:space="preserve">Spry v. </w:t>
      </w:r>
      <w:proofErr w:type="spellStart"/>
      <w:r w:rsidRPr="00FE1D8F">
        <w:rPr>
          <w:rFonts w:ascii="Arial" w:hAnsi="Arial" w:cs="Arial"/>
          <w:u w:val="single"/>
          <w:lang w:val="en-AU"/>
        </w:rPr>
        <w:t>Prof'l</w:t>
      </w:r>
      <w:proofErr w:type="spellEnd"/>
      <w:r w:rsidRPr="00FE1D8F">
        <w:rPr>
          <w:rFonts w:ascii="Arial" w:hAnsi="Arial" w:cs="Arial"/>
          <w:u w:val="single"/>
          <w:lang w:val="en-AU"/>
        </w:rPr>
        <w:t xml:space="preserve"> </w:t>
      </w:r>
      <w:proofErr w:type="spellStart"/>
      <w:r w:rsidRPr="00FE1D8F">
        <w:rPr>
          <w:rFonts w:ascii="Arial" w:hAnsi="Arial" w:cs="Arial"/>
          <w:u w:val="single"/>
          <w:lang w:val="en-AU"/>
        </w:rPr>
        <w:t>Emp</w:t>
      </w:r>
      <w:r w:rsidR="00573D98">
        <w:rPr>
          <w:rFonts w:ascii="Arial" w:hAnsi="Arial" w:cs="Arial"/>
          <w:u w:val="single"/>
          <w:lang w:val="en-AU"/>
        </w:rPr>
        <w:t>'</w:t>
      </w:r>
      <w:r w:rsidRPr="00FE1D8F">
        <w:rPr>
          <w:rFonts w:ascii="Arial" w:hAnsi="Arial" w:cs="Arial"/>
          <w:u w:val="single"/>
          <w:lang w:val="en-AU"/>
        </w:rPr>
        <w:t>r</w:t>
      </w:r>
      <w:proofErr w:type="spellEnd"/>
      <w:r w:rsidRPr="00FE1D8F">
        <w:rPr>
          <w:rFonts w:ascii="Arial" w:hAnsi="Arial" w:cs="Arial"/>
          <w:u w:val="single"/>
          <w:lang w:val="en-AU"/>
        </w:rPr>
        <w:t xml:space="preserve"> Plans</w:t>
      </w:r>
      <w:r w:rsidRPr="00FE1D8F">
        <w:rPr>
          <w:rFonts w:ascii="Arial" w:hAnsi="Arial" w:cs="Arial"/>
          <w:lang w:val="en-AU"/>
        </w:rPr>
        <w:t xml:space="preserve">, 985 </w:t>
      </w:r>
      <w:proofErr w:type="spellStart"/>
      <w:r w:rsidRPr="00FE1D8F">
        <w:rPr>
          <w:rFonts w:ascii="Arial" w:hAnsi="Arial" w:cs="Arial"/>
          <w:lang w:val="en-AU"/>
        </w:rPr>
        <w:t>So.</w:t>
      </w:r>
      <w:proofErr w:type="spellEnd"/>
      <w:r w:rsidRPr="00FE1D8F">
        <w:rPr>
          <w:rFonts w:ascii="Arial" w:hAnsi="Arial" w:cs="Arial"/>
          <w:lang w:val="en-AU"/>
        </w:rPr>
        <w:t xml:space="preserve"> 2d 1187, 1188-89 (Fla. 1st DCA 2008).  However, those cases involved the </w:t>
      </w:r>
      <w:r w:rsidRPr="00FE1D8F">
        <w:rPr>
          <w:rFonts w:ascii="Arial" w:hAnsi="Arial" w:cs="Arial"/>
          <w:i/>
          <w:lang w:val="en-AU"/>
        </w:rPr>
        <w:t>personal</w:t>
      </w:r>
      <w:r w:rsidRPr="00FE1D8F">
        <w:rPr>
          <w:rFonts w:ascii="Arial" w:hAnsi="Arial" w:cs="Arial"/>
          <w:lang w:val="en-AU"/>
        </w:rPr>
        <w:t xml:space="preserve"> right to privacy which, as we have already explained, is not what is at issue here.  Further, where relevancy is readily apparent—as it is in this case—at least one Florida court holds that an evidentiary hearing is not necessary.  </w:t>
      </w:r>
      <w:r w:rsidRPr="00FE1D8F">
        <w:rPr>
          <w:rFonts w:ascii="Arial" w:hAnsi="Arial" w:cs="Arial"/>
          <w:u w:val="single"/>
          <w:lang w:val="en-AU"/>
        </w:rPr>
        <w:t>See</w:t>
      </w:r>
      <w:r w:rsidRPr="00FE1D8F">
        <w:rPr>
          <w:rFonts w:ascii="Arial" w:hAnsi="Arial" w:cs="Arial"/>
          <w:lang w:val="en-AU"/>
        </w:rPr>
        <w:t xml:space="preserve"> </w:t>
      </w:r>
      <w:proofErr w:type="spellStart"/>
      <w:r w:rsidRPr="00FE1D8F">
        <w:rPr>
          <w:rFonts w:ascii="Arial" w:hAnsi="Arial" w:cs="Arial"/>
          <w:u w:val="single"/>
          <w:lang w:val="en-AU"/>
        </w:rPr>
        <w:t>Elsner</w:t>
      </w:r>
      <w:proofErr w:type="spellEnd"/>
      <w:r w:rsidRPr="00FE1D8F">
        <w:rPr>
          <w:rFonts w:ascii="Arial" w:hAnsi="Arial" w:cs="Arial"/>
          <w:u w:val="single"/>
          <w:lang w:val="en-AU"/>
        </w:rPr>
        <w:t xml:space="preserve"> v. E-Commerce Coffee Club</w:t>
      </w:r>
      <w:r w:rsidRPr="00FE1D8F">
        <w:rPr>
          <w:rFonts w:ascii="Arial" w:hAnsi="Arial" w:cs="Arial"/>
          <w:lang w:val="en-AU"/>
        </w:rPr>
        <w:t>, 126 So. 3d 1261, 1264 (Fla. 4th DCA 2013) (rejecting the argument that "a trial court must always conduct an evidentiary hearing before it may order financial discovery from a party" and holding that where the requested financial information was relevant to the issues as framed by the pleadings, trial court did not depart from the essential requirements of the law in ordering disclosure).</w:t>
      </w:r>
      <w:r w:rsidRPr="00FE1D8F">
        <w:rPr>
          <w:rStyle w:val="FootnoteReference"/>
          <w:rFonts w:ascii="Arial" w:hAnsi="Arial" w:cs="Arial"/>
          <w:lang w:val="en-AU"/>
        </w:rPr>
        <w:footnoteReference w:id="4"/>
      </w:r>
      <w:r w:rsidRPr="00FE1D8F">
        <w:rPr>
          <w:rFonts w:ascii="Arial" w:hAnsi="Arial" w:cs="Arial"/>
          <w:lang w:val="en-AU"/>
        </w:rPr>
        <w:t xml:space="preserve">  We therefore hold that under the facts of this case, the trial court's failure to conduct an evidentiary hearing prior to ordering the disclosure of the requested documents does not constitute reversible error.</w:t>
      </w:r>
    </w:p>
    <w:p w:rsidR="00FE1D8F" w:rsidRPr="00FE1D8F" w:rsidRDefault="00FE1D8F" w:rsidP="00005023">
      <w:pPr>
        <w:pStyle w:val="Heading1"/>
      </w:pPr>
      <w:r w:rsidRPr="00FE1D8F">
        <w:lastRenderedPageBreak/>
        <w:t>Conclusion</w:t>
      </w:r>
    </w:p>
    <w:p w:rsidR="00FE1D8F" w:rsidRPr="00FE1D8F" w:rsidRDefault="00FE1D8F" w:rsidP="00FE1D8F">
      <w:pPr>
        <w:tabs>
          <w:tab w:val="left" w:pos="1440"/>
        </w:tabs>
        <w:spacing w:line="480" w:lineRule="auto"/>
        <w:ind w:firstLine="1134"/>
        <w:rPr>
          <w:rFonts w:ascii="Arial" w:hAnsi="Arial" w:cs="Arial"/>
          <w:lang w:val="en-AU"/>
        </w:rPr>
      </w:pPr>
      <w:r w:rsidRPr="00FE1D8F">
        <w:rPr>
          <w:rFonts w:ascii="Arial" w:hAnsi="Arial" w:cs="Arial"/>
          <w:lang w:val="en-AU"/>
        </w:rPr>
        <w:t>Because the relevancy of the requested documents to the Harrisons' attempt to execute on their judgment is readily apparent, the trial court did not err in overruling Venetian's objections and requiring the disclosure of the documents.  We therefore affirm.</w:t>
      </w:r>
    </w:p>
    <w:p w:rsidR="00FE1D8F" w:rsidRPr="00FE1D8F" w:rsidRDefault="00FE1D8F" w:rsidP="00FE1D8F">
      <w:pPr>
        <w:tabs>
          <w:tab w:val="left" w:pos="1440"/>
        </w:tabs>
        <w:spacing w:line="480" w:lineRule="auto"/>
        <w:rPr>
          <w:rFonts w:ascii="Arial" w:hAnsi="Arial" w:cs="Arial"/>
          <w:lang w:val="en-AU"/>
        </w:rPr>
      </w:pPr>
    </w:p>
    <w:p w:rsidR="00573ABE" w:rsidRPr="00FE1D8F" w:rsidRDefault="00FE1D8F" w:rsidP="00FE1D8F">
      <w:pPr>
        <w:tabs>
          <w:tab w:val="left" w:pos="1440"/>
        </w:tabs>
        <w:spacing w:line="480" w:lineRule="auto"/>
        <w:rPr>
          <w:b/>
          <w:lang w:val="en-AU"/>
        </w:rPr>
      </w:pPr>
      <w:r w:rsidRPr="00FE1D8F">
        <w:rPr>
          <w:rFonts w:ascii="Arial" w:hAnsi="Arial" w:cs="Arial"/>
          <w:lang w:val="en-AU"/>
        </w:rPr>
        <w:t xml:space="preserve">LAROSE and KHOUZAM, </w:t>
      </w:r>
      <w:proofErr w:type="gramStart"/>
      <w:r w:rsidRPr="00FE1D8F">
        <w:rPr>
          <w:rFonts w:ascii="Arial" w:hAnsi="Arial" w:cs="Arial"/>
          <w:lang w:val="en-AU"/>
        </w:rPr>
        <w:t>JJ.,</w:t>
      </w:r>
      <w:proofErr w:type="gramEnd"/>
      <w:r w:rsidRPr="00FE1D8F">
        <w:rPr>
          <w:rFonts w:ascii="Arial" w:hAnsi="Arial" w:cs="Arial"/>
          <w:lang w:val="en-AU"/>
        </w:rPr>
        <w:t xml:space="preserve"> Concur. </w:t>
      </w:r>
      <w:r w:rsidR="00573ABE" w:rsidRPr="00FE1D8F">
        <w:rPr>
          <w:rFonts w:ascii="Arial" w:hAnsi="Arial" w:cs="Arial"/>
        </w:rPr>
        <w:t xml:space="preserve">  </w:t>
      </w:r>
    </w:p>
    <w:sectPr w:rsidR="00573ABE" w:rsidRPr="00FE1D8F" w:rsidSect="00E4510D">
      <w:footerReference w:type="default" r:id="rId8"/>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2518" w:rsidRDefault="00C32518">
      <w:r>
        <w:separator/>
      </w:r>
    </w:p>
  </w:endnote>
  <w:endnote w:type="continuationSeparator" w:id="0">
    <w:p w:rsidR="00C32518" w:rsidRDefault="00C32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5275395"/>
      <w:docPartObj>
        <w:docPartGallery w:val="Page Numbers (Bottom of Page)"/>
        <w:docPartUnique/>
      </w:docPartObj>
    </w:sdtPr>
    <w:sdtEndPr>
      <w:rPr>
        <w:noProof/>
      </w:rPr>
    </w:sdtEndPr>
    <w:sdtContent>
      <w:p w:rsidR="00220B77" w:rsidRDefault="00220B77">
        <w:pPr>
          <w:pStyle w:val="Footer"/>
          <w:jc w:val="center"/>
          <w:rPr>
            <w:rFonts w:ascii="Arial" w:hAnsi="Arial" w:cs="Arial"/>
          </w:rPr>
        </w:pPr>
      </w:p>
      <w:p w:rsidR="00220B77" w:rsidRDefault="00220B77">
        <w:pPr>
          <w:pStyle w:val="Footer"/>
          <w:jc w:val="center"/>
          <w:rPr>
            <w:rFonts w:ascii="Arial" w:hAnsi="Arial" w:cs="Arial"/>
            <w:noProof/>
          </w:rPr>
        </w:pPr>
        <w:r>
          <w:rPr>
            <w:rFonts w:ascii="Arial" w:hAnsi="Arial" w:cs="Arial"/>
          </w:rPr>
          <w:t>-</w:t>
        </w:r>
        <w:r w:rsidRPr="00220B77">
          <w:rPr>
            <w:rFonts w:ascii="Arial" w:hAnsi="Arial" w:cs="Arial"/>
          </w:rPr>
          <w:fldChar w:fldCharType="begin"/>
        </w:r>
        <w:r w:rsidRPr="00220B77">
          <w:rPr>
            <w:rFonts w:ascii="Arial" w:hAnsi="Arial" w:cs="Arial"/>
          </w:rPr>
          <w:instrText xml:space="preserve"> PAGE   \* MERGEFORMAT </w:instrText>
        </w:r>
        <w:r w:rsidRPr="00220B77">
          <w:rPr>
            <w:rFonts w:ascii="Arial" w:hAnsi="Arial" w:cs="Arial"/>
          </w:rPr>
          <w:fldChar w:fldCharType="separate"/>
        </w:r>
        <w:r w:rsidR="000A3B73">
          <w:rPr>
            <w:rFonts w:ascii="Arial" w:hAnsi="Arial" w:cs="Arial"/>
            <w:noProof/>
          </w:rPr>
          <w:t>9</w:t>
        </w:r>
        <w:r w:rsidRPr="00220B77">
          <w:rPr>
            <w:rFonts w:ascii="Arial" w:hAnsi="Arial" w:cs="Arial"/>
            <w:noProof/>
          </w:rPr>
          <w:fldChar w:fldCharType="end"/>
        </w:r>
        <w:r>
          <w:rPr>
            <w:rFonts w:ascii="Arial" w:hAnsi="Arial" w:cs="Arial"/>
            <w:noProof/>
          </w:rPr>
          <w:t>-</w:t>
        </w:r>
      </w:p>
      <w:p w:rsidR="00220B77" w:rsidRDefault="000A3B73">
        <w:pPr>
          <w:pStyle w:val="Footer"/>
          <w:jc w:val="center"/>
        </w:pPr>
      </w:p>
    </w:sdtContent>
  </w:sdt>
  <w:p w:rsidR="007D1CC3" w:rsidRPr="00CD456E" w:rsidRDefault="007D1CC3" w:rsidP="00CD45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2518" w:rsidRDefault="00C32518">
      <w:r>
        <w:separator/>
      </w:r>
    </w:p>
  </w:footnote>
  <w:footnote w:type="continuationSeparator" w:id="0">
    <w:p w:rsidR="00C32518" w:rsidRDefault="00C32518">
      <w:r>
        <w:continuationSeparator/>
      </w:r>
    </w:p>
  </w:footnote>
  <w:footnote w:id="1">
    <w:p w:rsidR="00FE1D8F" w:rsidRPr="00FC3BDB" w:rsidRDefault="00573D98" w:rsidP="00200D04">
      <w:pPr>
        <w:pStyle w:val="FootnoteText"/>
        <w:tabs>
          <w:tab w:val="left" w:pos="1440"/>
        </w:tabs>
        <w:rPr>
          <w:sz w:val="24"/>
          <w:szCs w:val="24"/>
          <w:lang w:val="en-AU"/>
        </w:rPr>
      </w:pPr>
      <w:r>
        <w:rPr>
          <w:sz w:val="24"/>
          <w:szCs w:val="24"/>
        </w:rPr>
        <w:tab/>
      </w:r>
      <w:r w:rsidR="00FE1D8F" w:rsidRPr="00FC3BDB">
        <w:rPr>
          <w:rStyle w:val="FootnoteReference"/>
          <w:sz w:val="24"/>
          <w:szCs w:val="24"/>
        </w:rPr>
        <w:footnoteRef/>
      </w:r>
      <w:r w:rsidR="00FE1D8F">
        <w:rPr>
          <w:sz w:val="24"/>
          <w:szCs w:val="24"/>
        </w:rPr>
        <w:t xml:space="preserve">The judgment was based on </w:t>
      </w:r>
      <w:r w:rsidR="00FE1D8F" w:rsidRPr="00FC3BDB">
        <w:rPr>
          <w:sz w:val="24"/>
          <w:szCs w:val="24"/>
        </w:rPr>
        <w:t>a promissory note</w:t>
      </w:r>
      <w:r w:rsidR="00FE1D8F">
        <w:rPr>
          <w:sz w:val="24"/>
          <w:szCs w:val="24"/>
        </w:rPr>
        <w:t xml:space="preserve"> on which Arthur Bateman defaulted in 2008</w:t>
      </w:r>
      <w:r w:rsidR="00FE1D8F" w:rsidRPr="00FC3BDB">
        <w:rPr>
          <w:sz w:val="24"/>
          <w:szCs w:val="24"/>
        </w:rPr>
        <w:t>.</w:t>
      </w:r>
    </w:p>
  </w:footnote>
  <w:footnote w:id="2">
    <w:p w:rsidR="00FE1D8F" w:rsidRDefault="00662156" w:rsidP="00662156">
      <w:pPr>
        <w:pStyle w:val="FootnoteText"/>
        <w:tabs>
          <w:tab w:val="left" w:pos="1440"/>
        </w:tabs>
        <w:rPr>
          <w:sz w:val="24"/>
          <w:szCs w:val="24"/>
        </w:rPr>
      </w:pPr>
      <w:r>
        <w:rPr>
          <w:sz w:val="24"/>
          <w:szCs w:val="24"/>
        </w:rPr>
        <w:tab/>
      </w:r>
      <w:r w:rsidR="00FE1D8F" w:rsidRPr="00B67DFD">
        <w:rPr>
          <w:rStyle w:val="FootnoteReference"/>
          <w:sz w:val="24"/>
          <w:szCs w:val="24"/>
        </w:rPr>
        <w:footnoteRef/>
      </w:r>
      <w:r w:rsidR="00FE1D8F">
        <w:rPr>
          <w:sz w:val="24"/>
          <w:szCs w:val="24"/>
        </w:rPr>
        <w:t>A</w:t>
      </w:r>
      <w:r w:rsidR="00FE1D8F" w:rsidRPr="00B67DFD">
        <w:rPr>
          <w:sz w:val="24"/>
          <w:szCs w:val="24"/>
        </w:rPr>
        <w:t>t least one federal case is instructive</w:t>
      </w:r>
      <w:r w:rsidR="00FE1D8F">
        <w:rPr>
          <w:sz w:val="24"/>
          <w:szCs w:val="24"/>
        </w:rPr>
        <w:t xml:space="preserve"> on the issue of what can constitute a close link between a nonparty and a judgment debtor.  </w:t>
      </w:r>
      <w:r w:rsidR="00FE1D8F" w:rsidRPr="00B67DFD">
        <w:rPr>
          <w:sz w:val="24"/>
          <w:szCs w:val="24"/>
        </w:rPr>
        <w:t xml:space="preserve">In </w:t>
      </w:r>
      <w:r w:rsidR="00FE1D8F" w:rsidRPr="00B67DFD">
        <w:rPr>
          <w:sz w:val="24"/>
          <w:szCs w:val="24"/>
          <w:u w:val="single"/>
        </w:rPr>
        <w:t xml:space="preserve">Trustees of the North Florida Operating Engineers Health </w:t>
      </w:r>
      <w:r w:rsidR="00573D98">
        <w:rPr>
          <w:sz w:val="24"/>
          <w:szCs w:val="24"/>
          <w:u w:val="single"/>
        </w:rPr>
        <w:t>&amp;</w:t>
      </w:r>
      <w:r w:rsidR="00FE1D8F" w:rsidRPr="00B67DFD">
        <w:rPr>
          <w:sz w:val="24"/>
          <w:szCs w:val="24"/>
          <w:u w:val="single"/>
        </w:rPr>
        <w:t xml:space="preserve"> Welfare Fund v. Lane Crane Service, Inc.</w:t>
      </w:r>
      <w:r w:rsidR="00FE1D8F" w:rsidRPr="00B67DFD">
        <w:rPr>
          <w:sz w:val="24"/>
          <w:szCs w:val="24"/>
        </w:rPr>
        <w:t>, 148 F.R.D. 662 (M.D. Fla. 1993), the court held that the judgment creditor was entitled, pursuant to Federal Rule of Civil Procedure 69(a)</w:t>
      </w:r>
      <w:r w:rsidR="00573D98">
        <w:rPr>
          <w:sz w:val="24"/>
          <w:szCs w:val="24"/>
        </w:rPr>
        <w:t>,</w:t>
      </w:r>
      <w:r w:rsidR="00FE1D8F" w:rsidRPr="00B67DFD">
        <w:rPr>
          <w:sz w:val="24"/>
          <w:szCs w:val="24"/>
        </w:rPr>
        <w:t xml:space="preserve"> to seek discovery from a nonparty on the basis of an alter ego theory.  The court relied on the following facts: (1) the judgment debtor became defunct within one month of the formation of the new company; (2) the son of the principal of the debtor company was the sole owner of the new company; (3) the debtor company and the new company utilized the same address; (4) the debtor company and the new company engaged in the same kind of business; and (5) the new company employed some of the debtor company's former employees.  </w:t>
      </w:r>
      <w:r w:rsidR="00FE1D8F" w:rsidRPr="00B67DFD">
        <w:rPr>
          <w:sz w:val="24"/>
          <w:szCs w:val="24"/>
          <w:u w:val="single"/>
        </w:rPr>
        <w:t>Id.</w:t>
      </w:r>
      <w:r w:rsidR="00FE1D8F" w:rsidRPr="00B67DFD">
        <w:rPr>
          <w:sz w:val="24"/>
          <w:szCs w:val="24"/>
        </w:rPr>
        <w:t xml:space="preserve"> at 664.  The court held that while any one of those factors, standing alone, might not be sufficient to make the requisite showing, the combination of those factors provided a basis for the creditor's allegation of an alter ego relationship sufficient to justify the requested discovery.  </w:t>
      </w:r>
      <w:r w:rsidR="00FE1D8F" w:rsidRPr="00B67DFD">
        <w:rPr>
          <w:sz w:val="24"/>
          <w:szCs w:val="24"/>
          <w:u w:val="single"/>
        </w:rPr>
        <w:t>Id.</w:t>
      </w:r>
      <w:r w:rsidR="00FE1D8F">
        <w:rPr>
          <w:sz w:val="24"/>
          <w:szCs w:val="24"/>
        </w:rPr>
        <w:t xml:space="preserve">  In so holding, the court opined that creditors "can hardly be expected to make the prima facie showing required to implead [the nonparties in supplementary proceedings] before having access to discovery which would allow them to determine if such a showing can be made."  </w:t>
      </w:r>
      <w:r w:rsidR="00FE1D8F">
        <w:rPr>
          <w:sz w:val="24"/>
          <w:szCs w:val="24"/>
          <w:u w:val="single"/>
        </w:rPr>
        <w:t>Id.</w:t>
      </w:r>
      <w:r w:rsidR="00FE1D8F">
        <w:rPr>
          <w:sz w:val="24"/>
          <w:szCs w:val="24"/>
        </w:rPr>
        <w:t xml:space="preserve">  </w:t>
      </w:r>
    </w:p>
    <w:p w:rsidR="00FE1D8F" w:rsidRPr="00B67DFD" w:rsidRDefault="00662156" w:rsidP="00662156">
      <w:pPr>
        <w:pStyle w:val="FootnoteText"/>
        <w:tabs>
          <w:tab w:val="left" w:pos="1440"/>
        </w:tabs>
        <w:rPr>
          <w:sz w:val="24"/>
          <w:szCs w:val="24"/>
          <w:lang w:val="en-AU"/>
        </w:rPr>
      </w:pPr>
      <w:r>
        <w:rPr>
          <w:sz w:val="24"/>
          <w:szCs w:val="24"/>
        </w:rPr>
        <w:tab/>
      </w:r>
      <w:r w:rsidR="00FE1D8F">
        <w:rPr>
          <w:sz w:val="24"/>
          <w:szCs w:val="24"/>
        </w:rPr>
        <w:t xml:space="preserve">Here it is the combination of factors </w:t>
      </w:r>
      <w:r w:rsidR="00573D98">
        <w:rPr>
          <w:sz w:val="24"/>
          <w:szCs w:val="24"/>
        </w:rPr>
        <w:t xml:space="preserve">that leads us to conclude that a "close link" has been established: </w:t>
      </w:r>
      <w:r w:rsidR="00FE1D8F">
        <w:rPr>
          <w:sz w:val="24"/>
          <w:szCs w:val="24"/>
        </w:rPr>
        <w:t xml:space="preserve">timing of the corporate name change and appointment of new officers shortly following Bateman's default, the fact that the two Venetian entities involved in this appeal share the same address, the fact that the Venetian entities share corporate officers, and the fact that Bateman was still involved either as an owner or officer with several of the Venetian entities even after the judgment was obtained. </w:t>
      </w:r>
    </w:p>
  </w:footnote>
  <w:footnote w:id="3">
    <w:p w:rsidR="00FE1D8F" w:rsidRPr="00852219" w:rsidRDefault="00FE1D8F" w:rsidP="00FE1D8F">
      <w:pPr>
        <w:pStyle w:val="FootnoteText"/>
        <w:ind w:firstLine="1134"/>
        <w:rPr>
          <w:lang w:val="en-AU"/>
        </w:rPr>
      </w:pPr>
      <w:r w:rsidRPr="00852219">
        <w:rPr>
          <w:rStyle w:val="FootnoteReference"/>
          <w:sz w:val="24"/>
          <w:szCs w:val="24"/>
        </w:rPr>
        <w:footnoteRef/>
      </w:r>
      <w:proofErr w:type="spellStart"/>
      <w:r w:rsidRPr="00852219">
        <w:rPr>
          <w:sz w:val="24"/>
          <w:szCs w:val="24"/>
          <w:u w:val="single"/>
        </w:rPr>
        <w:t>Pyszka</w:t>
      </w:r>
      <w:proofErr w:type="spellEnd"/>
      <w:r w:rsidRPr="00852219">
        <w:rPr>
          <w:sz w:val="24"/>
          <w:szCs w:val="24"/>
          <w:u w:val="single"/>
        </w:rPr>
        <w:t xml:space="preserve">, Kessler, Massey, Weldon, </w:t>
      </w:r>
      <w:proofErr w:type="spellStart"/>
      <w:r w:rsidRPr="00852219">
        <w:rPr>
          <w:sz w:val="24"/>
          <w:szCs w:val="24"/>
          <w:u w:val="single"/>
        </w:rPr>
        <w:t>Catri</w:t>
      </w:r>
      <w:proofErr w:type="spellEnd"/>
      <w:r w:rsidRPr="00852219">
        <w:rPr>
          <w:sz w:val="24"/>
          <w:szCs w:val="24"/>
          <w:u w:val="single"/>
        </w:rPr>
        <w:t xml:space="preserve">, Holton &amp; </w:t>
      </w:r>
      <w:proofErr w:type="spellStart"/>
      <w:r w:rsidRPr="00852219">
        <w:rPr>
          <w:sz w:val="24"/>
          <w:szCs w:val="24"/>
          <w:u w:val="single"/>
        </w:rPr>
        <w:t>Douberley</w:t>
      </w:r>
      <w:proofErr w:type="spellEnd"/>
      <w:r w:rsidRPr="00852219">
        <w:rPr>
          <w:sz w:val="24"/>
          <w:szCs w:val="24"/>
          <w:u w:val="single"/>
        </w:rPr>
        <w:t>, P.A. v. Mullin</w:t>
      </w:r>
      <w:r w:rsidRPr="00852219">
        <w:rPr>
          <w:sz w:val="24"/>
          <w:szCs w:val="24"/>
        </w:rPr>
        <w:t xml:space="preserve">, 602 So. 2d 955 (Fla. 3d DCA 1991), </w:t>
      </w:r>
      <w:r w:rsidRPr="00852219">
        <w:rPr>
          <w:sz w:val="24"/>
          <w:szCs w:val="24"/>
          <w:u w:val="single"/>
        </w:rPr>
        <w:t xml:space="preserve">Bradstreet v. </w:t>
      </w:r>
      <w:proofErr w:type="spellStart"/>
      <w:r w:rsidRPr="00852219">
        <w:rPr>
          <w:sz w:val="24"/>
          <w:szCs w:val="24"/>
          <w:u w:val="single"/>
        </w:rPr>
        <w:t>Taraschi</w:t>
      </w:r>
      <w:proofErr w:type="spellEnd"/>
      <w:r w:rsidRPr="00852219">
        <w:rPr>
          <w:sz w:val="24"/>
          <w:szCs w:val="24"/>
        </w:rPr>
        <w:t>, 529 So. 2d 809, 810 (Fla. 5th DCA 1988),</w:t>
      </w:r>
      <w:r>
        <w:rPr>
          <w:sz w:val="24"/>
          <w:szCs w:val="24"/>
        </w:rPr>
        <w:t xml:space="preserve"> and </w:t>
      </w:r>
      <w:r>
        <w:rPr>
          <w:sz w:val="24"/>
          <w:szCs w:val="24"/>
          <w:u w:val="single"/>
        </w:rPr>
        <w:t xml:space="preserve">Palmer v. </w:t>
      </w:r>
      <w:proofErr w:type="spellStart"/>
      <w:r>
        <w:rPr>
          <w:sz w:val="24"/>
          <w:szCs w:val="24"/>
          <w:u w:val="single"/>
        </w:rPr>
        <w:t>Servis</w:t>
      </w:r>
      <w:proofErr w:type="spellEnd"/>
      <w:r>
        <w:rPr>
          <w:sz w:val="24"/>
          <w:szCs w:val="24"/>
        </w:rPr>
        <w:t>, 393 So. 2d 653 (Fla. 5th DCA 198</w:t>
      </w:r>
      <w:r w:rsidR="00573D98">
        <w:rPr>
          <w:sz w:val="24"/>
          <w:szCs w:val="24"/>
        </w:rPr>
        <w:t>1</w:t>
      </w:r>
      <w:r>
        <w:rPr>
          <w:sz w:val="24"/>
          <w:szCs w:val="24"/>
        </w:rPr>
        <w:t>),</w:t>
      </w:r>
      <w:r w:rsidRPr="00852219">
        <w:rPr>
          <w:sz w:val="24"/>
          <w:szCs w:val="24"/>
        </w:rPr>
        <w:t xml:space="preserve"> are </w:t>
      </w:r>
      <w:r w:rsidRPr="00852219">
        <w:rPr>
          <w:i/>
          <w:sz w:val="24"/>
          <w:szCs w:val="24"/>
        </w:rPr>
        <w:t>prejudgment</w:t>
      </w:r>
      <w:r w:rsidRPr="00852219">
        <w:rPr>
          <w:sz w:val="24"/>
          <w:szCs w:val="24"/>
        </w:rPr>
        <w:t xml:space="preserve"> discovery cases which require more narrowly tailored discovery requests and which do not involve the same considerations as postjudgment discovery cases (i.e., enabling the judgment creditor to locate assets in </w:t>
      </w:r>
      <w:r>
        <w:rPr>
          <w:sz w:val="24"/>
          <w:szCs w:val="24"/>
        </w:rPr>
        <w:t xml:space="preserve">aid of execution of judgment).  </w:t>
      </w:r>
      <w:r>
        <w:rPr>
          <w:sz w:val="24"/>
          <w:szCs w:val="24"/>
          <w:u w:val="single"/>
        </w:rPr>
        <w:t xml:space="preserve">S.W. Fla. Paradise Prop., Inc. v. </w:t>
      </w:r>
      <w:proofErr w:type="spellStart"/>
      <w:r>
        <w:rPr>
          <w:sz w:val="24"/>
          <w:szCs w:val="24"/>
          <w:u w:val="single"/>
        </w:rPr>
        <w:t>Segelke</w:t>
      </w:r>
      <w:proofErr w:type="spellEnd"/>
      <w:r>
        <w:rPr>
          <w:sz w:val="24"/>
          <w:szCs w:val="24"/>
        </w:rPr>
        <w:t xml:space="preserve">, 111 So. 3d 268, 270 (Fla. 2d DCA 2013), was a </w:t>
      </w:r>
      <w:r>
        <w:rPr>
          <w:i/>
          <w:sz w:val="24"/>
          <w:szCs w:val="24"/>
        </w:rPr>
        <w:t>postjudgment</w:t>
      </w:r>
      <w:r>
        <w:rPr>
          <w:sz w:val="24"/>
          <w:szCs w:val="24"/>
        </w:rPr>
        <w:t xml:space="preserve"> discovery case, but it involved a</w:t>
      </w:r>
      <w:r w:rsidR="00573D98">
        <w:rPr>
          <w:sz w:val="24"/>
          <w:szCs w:val="24"/>
        </w:rPr>
        <w:t xml:space="preserve"> judgment against a corporation</w:t>
      </w:r>
      <w:r>
        <w:rPr>
          <w:sz w:val="24"/>
          <w:szCs w:val="24"/>
        </w:rPr>
        <w:t xml:space="preserve"> and a request for the corporation's president and registered agent to produce his </w:t>
      </w:r>
      <w:r>
        <w:rPr>
          <w:i/>
          <w:sz w:val="24"/>
          <w:szCs w:val="24"/>
        </w:rPr>
        <w:t xml:space="preserve">personal </w:t>
      </w:r>
      <w:r>
        <w:rPr>
          <w:sz w:val="24"/>
          <w:szCs w:val="24"/>
        </w:rPr>
        <w:t xml:space="preserve">financial, business and property records, along with records which disclosed the "extent and nature of financial interest, </w:t>
      </w:r>
      <w:proofErr w:type="gramStart"/>
      <w:r>
        <w:rPr>
          <w:sz w:val="24"/>
          <w:szCs w:val="24"/>
        </w:rPr>
        <w:t>property</w:t>
      </w:r>
      <w:r w:rsidR="00517FB9">
        <w:rPr>
          <w:sz w:val="24"/>
          <w:szCs w:val="24"/>
        </w:rPr>
        <w:t>[</w:t>
      </w:r>
      <w:proofErr w:type="gramEnd"/>
      <w:r>
        <w:rPr>
          <w:sz w:val="24"/>
          <w:szCs w:val="24"/>
        </w:rPr>
        <w:t>,</w:t>
      </w:r>
      <w:r w:rsidR="00517FB9">
        <w:rPr>
          <w:sz w:val="24"/>
          <w:szCs w:val="24"/>
        </w:rPr>
        <w:t>]</w:t>
      </w:r>
      <w:r>
        <w:rPr>
          <w:sz w:val="24"/>
          <w:szCs w:val="24"/>
        </w:rPr>
        <w:t xml:space="preserve"> and property rights" owned by him both </w:t>
      </w:r>
      <w:r w:rsidRPr="00280B83">
        <w:rPr>
          <w:i/>
          <w:sz w:val="24"/>
          <w:szCs w:val="24"/>
        </w:rPr>
        <w:t>individually</w:t>
      </w:r>
      <w:r w:rsidR="00573D98">
        <w:rPr>
          <w:sz w:val="24"/>
          <w:szCs w:val="24"/>
        </w:rPr>
        <w:t xml:space="preserve"> and jointly;</w:t>
      </w:r>
      <w:r>
        <w:rPr>
          <w:sz w:val="24"/>
          <w:szCs w:val="24"/>
        </w:rPr>
        <w:t xml:space="preserve"> </w:t>
      </w:r>
      <w:r w:rsidR="00573D98">
        <w:rPr>
          <w:sz w:val="24"/>
          <w:szCs w:val="24"/>
          <w:u w:val="single"/>
        </w:rPr>
        <w:t>s</w:t>
      </w:r>
      <w:r>
        <w:rPr>
          <w:sz w:val="24"/>
          <w:szCs w:val="24"/>
          <w:u w:val="single"/>
        </w:rPr>
        <w:t>ee also</w:t>
      </w:r>
      <w:r>
        <w:rPr>
          <w:sz w:val="24"/>
          <w:szCs w:val="24"/>
        </w:rPr>
        <w:t xml:space="preserve"> </w:t>
      </w:r>
      <w:r>
        <w:rPr>
          <w:sz w:val="24"/>
          <w:szCs w:val="24"/>
          <w:u w:val="single"/>
        </w:rPr>
        <w:t>Walter v. Page</w:t>
      </w:r>
      <w:r>
        <w:rPr>
          <w:sz w:val="24"/>
          <w:szCs w:val="24"/>
        </w:rPr>
        <w:t xml:space="preserve">, 638 So. 2d 1030 (Fla. 2d DCA 1994) (similar).  That is different from the instant case because Article I, section 23 clearly affords a right of privacy to natural persons.  </w:t>
      </w:r>
      <w:r>
        <w:rPr>
          <w:sz w:val="24"/>
          <w:szCs w:val="24"/>
          <w:u w:val="single"/>
        </w:rPr>
        <w:t>See</w:t>
      </w:r>
      <w:r>
        <w:rPr>
          <w:sz w:val="24"/>
          <w:szCs w:val="24"/>
        </w:rPr>
        <w:t xml:space="preserve"> </w:t>
      </w:r>
      <w:r w:rsidRPr="005B6163">
        <w:rPr>
          <w:sz w:val="24"/>
          <w:szCs w:val="24"/>
          <w:u w:val="single"/>
          <w:lang w:val="en-AU"/>
        </w:rPr>
        <w:t>Rowe v. Rodriguez-Schmidt</w:t>
      </w:r>
      <w:r w:rsidRPr="005B6163">
        <w:rPr>
          <w:sz w:val="24"/>
          <w:szCs w:val="24"/>
          <w:lang w:val="en-AU"/>
        </w:rPr>
        <w:t>, 89 So. 3d 1101, 1103 (Fla. 2d DCA 2012)</w:t>
      </w:r>
      <w:r>
        <w:rPr>
          <w:sz w:val="24"/>
          <w:szCs w:val="24"/>
        </w:rPr>
        <w:t xml:space="preserve">.    </w:t>
      </w:r>
    </w:p>
  </w:footnote>
  <w:footnote w:id="4">
    <w:p w:rsidR="00FE1D8F" w:rsidRPr="00F41646" w:rsidRDefault="00FE1D8F" w:rsidP="00FE1D8F">
      <w:pPr>
        <w:pStyle w:val="FootnoteText"/>
        <w:ind w:firstLine="1134"/>
        <w:rPr>
          <w:sz w:val="24"/>
          <w:szCs w:val="24"/>
          <w:lang w:val="en-AU"/>
        </w:rPr>
      </w:pPr>
      <w:r w:rsidRPr="00F41646">
        <w:rPr>
          <w:rStyle w:val="FootnoteReference"/>
          <w:sz w:val="24"/>
          <w:szCs w:val="24"/>
        </w:rPr>
        <w:footnoteRef/>
      </w:r>
      <w:r w:rsidRPr="00F41646">
        <w:rPr>
          <w:sz w:val="24"/>
          <w:szCs w:val="24"/>
        </w:rPr>
        <w:t xml:space="preserve">The fact that </w:t>
      </w:r>
      <w:proofErr w:type="spellStart"/>
      <w:r w:rsidRPr="00F41646">
        <w:rPr>
          <w:sz w:val="24"/>
          <w:szCs w:val="24"/>
          <w:u w:val="single"/>
        </w:rPr>
        <w:t>Elsner</w:t>
      </w:r>
      <w:proofErr w:type="spellEnd"/>
      <w:r w:rsidRPr="00F41646">
        <w:rPr>
          <w:sz w:val="24"/>
          <w:szCs w:val="24"/>
        </w:rPr>
        <w:t xml:space="preserve"> involved a request for </w:t>
      </w:r>
      <w:r w:rsidRPr="00F41646">
        <w:rPr>
          <w:i/>
          <w:sz w:val="24"/>
          <w:szCs w:val="24"/>
        </w:rPr>
        <w:t>personal</w:t>
      </w:r>
      <w:r w:rsidRPr="00F41646">
        <w:rPr>
          <w:sz w:val="24"/>
          <w:szCs w:val="24"/>
        </w:rPr>
        <w:t xml:space="preserve"> financial documents and was a </w:t>
      </w:r>
      <w:r w:rsidRPr="00F41646">
        <w:rPr>
          <w:i/>
          <w:sz w:val="24"/>
          <w:szCs w:val="24"/>
        </w:rPr>
        <w:t>prejudgment</w:t>
      </w:r>
      <w:r w:rsidRPr="00F41646">
        <w:rPr>
          <w:sz w:val="24"/>
          <w:szCs w:val="24"/>
        </w:rPr>
        <w:t xml:space="preserve"> discovery case does not make its holding any less applicable on this particular issue.  In fact, given that </w:t>
      </w:r>
      <w:r w:rsidRPr="00F41646">
        <w:rPr>
          <w:i/>
          <w:sz w:val="24"/>
          <w:szCs w:val="24"/>
        </w:rPr>
        <w:t>postjudgment</w:t>
      </w:r>
      <w:r w:rsidRPr="00F41646">
        <w:rPr>
          <w:sz w:val="24"/>
          <w:szCs w:val="24"/>
        </w:rPr>
        <w:t xml:space="preserve"> discovery is broader in nature and that corporations cannot ordinarily assert a privacy right, </w:t>
      </w:r>
      <w:proofErr w:type="spellStart"/>
      <w:r w:rsidRPr="00F41646">
        <w:rPr>
          <w:sz w:val="24"/>
          <w:szCs w:val="24"/>
          <w:u w:val="single"/>
        </w:rPr>
        <w:t>Elsner</w:t>
      </w:r>
      <w:r w:rsidRPr="00F41646">
        <w:rPr>
          <w:sz w:val="24"/>
          <w:szCs w:val="24"/>
        </w:rPr>
        <w:t>'s</w:t>
      </w:r>
      <w:proofErr w:type="spellEnd"/>
      <w:r w:rsidRPr="00F41646">
        <w:rPr>
          <w:sz w:val="24"/>
          <w:szCs w:val="24"/>
        </w:rPr>
        <w:t xml:space="preserve"> holding makes even more sense in a case such as this one where a judgment creditor is seeking information from a nonparty who has a close link to the judgment debtor.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42B75"/>
    <w:multiLevelType w:val="hybridMultilevel"/>
    <w:tmpl w:val="A66AD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E00212F"/>
    <w:multiLevelType w:val="hybridMultilevel"/>
    <w:tmpl w:val="446EB6FA"/>
    <w:lvl w:ilvl="0" w:tplc="0E7271A6">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X97_1" w:val="Jackson2D04-2571.726.wpd"/>
    <w:docVar w:name="DOCX97_10" w:val="5/17/2005 10:46:41 AM"/>
    <w:docVar w:name="DOCX97_11" w:val="584"/>
    <w:docVar w:name="DOCX97_2" w:val="C:\Program Files\DocXchange Server\Working\Jackson2D04-2571.726.wpd"/>
    <w:docVar w:name="DOCX97_20" w:val="DocX97Begin"/>
    <w:docVar w:name="DOCX97_21" w:val="GoodLMargins"/>
    <w:docVar w:name="DOCX97_22" w:val="GoodRMargins"/>
    <w:docVar w:name="DOCX97_23" w:val="NoTabCodes"/>
    <w:docVar w:name="DOCX97_25" w:val="GoodStyleRemove"/>
    <w:docVar w:name="DOCX97_26" w:val="NoReferences"/>
    <w:docVar w:name="DOCX97_27" w:val="NoTarget"/>
    <w:docVar w:name="DOCX97_3" w:val="UNIDENTIFIEDHEADER"/>
    <w:docVar w:name="DOCX97_31" w:val="NoDelay"/>
    <w:docVar w:name="DOCX97_32" w:val="YesHardCenter"/>
    <w:docVar w:name="DOCX97_33" w:val="NoPTR"/>
    <w:docVar w:name="DOCX97_34" w:val="YesHorizAdv"/>
    <w:docVar w:name="DOCX97_35" w:val="YesVerticalAdv"/>
    <w:docVar w:name="DOCX97_39" w:val="NoTOC"/>
    <w:docVar w:name="DOCX97_4" w:val="C:\Program Files\DocXchange Server\Working\Jackson2D04-2571.726_wpd.DOC"/>
    <w:docVar w:name="DOCX97_40" w:val="YesBackTabs"/>
    <w:docVar w:name="DOCX97_42" w:val="0Footnotes"/>
    <w:docVar w:name="DOCX97_43" w:val="0Endnotes"/>
    <w:docVar w:name="DOCX97_45" w:val="1"/>
    <w:docVar w:name="DOCX97_46" w:val="1"/>
    <w:docVar w:name="DOCX97_47" w:val="0.8"/>
    <w:docVar w:name="DOCX97_48" w:val="1"/>
    <w:docVar w:name="DOCX97_49" w:val="11"/>
    <w:docVar w:name="DOCX97_5" w:val="4615"/>
    <w:docVar w:name="DOCX97_51" w:val="NoDocType"/>
    <w:docVar w:name="DOCX97_52" w:val="Document"/>
    <w:docVar w:name="DOCX97_53" w:val="NoBoxes"/>
    <w:docVar w:name="DOCX97_54" w:val="YesLeading"/>
    <w:docVar w:name="DOCX97_59" w:val="8.5"/>
    <w:docVar w:name="DOCX97_6" w:val="25600"/>
    <w:docVar w:name="DOCX97_61" w:val="NoSpacers"/>
    <w:docVar w:name="DOCX97_66" w:val="GoodQuotes"/>
    <w:docVar w:name="DOCX97_85" w:val="PDF_OFF"/>
    <w:docVar w:name="DOCX97_89" w:val="DXWordPerfectMacrosDone"/>
    <w:docVar w:name="DOCX97_90" w:val="DocX97WPDone"/>
    <w:docVar w:name="DOCX97_91" w:val="Standard"/>
    <w:docVar w:name="DOCX97_97" w:val="ConvertedTables"/>
  </w:docVars>
  <w:rsids>
    <w:rsidRoot w:val="00FA1328"/>
    <w:rsid w:val="00005023"/>
    <w:rsid w:val="00036A88"/>
    <w:rsid w:val="00051075"/>
    <w:rsid w:val="000517EF"/>
    <w:rsid w:val="00052941"/>
    <w:rsid w:val="0005796C"/>
    <w:rsid w:val="00065420"/>
    <w:rsid w:val="000761C3"/>
    <w:rsid w:val="000850DF"/>
    <w:rsid w:val="00094427"/>
    <w:rsid w:val="000A3B73"/>
    <w:rsid w:val="000A4875"/>
    <w:rsid w:val="000A57A5"/>
    <w:rsid w:val="000B3FB3"/>
    <w:rsid w:val="000C15DB"/>
    <w:rsid w:val="000C2E2A"/>
    <w:rsid w:val="000C3F18"/>
    <w:rsid w:val="000E4669"/>
    <w:rsid w:val="001021FF"/>
    <w:rsid w:val="0011466D"/>
    <w:rsid w:val="00144DE6"/>
    <w:rsid w:val="00162CEA"/>
    <w:rsid w:val="001B1DC6"/>
    <w:rsid w:val="001C0A1F"/>
    <w:rsid w:val="001C298A"/>
    <w:rsid w:val="001D34D6"/>
    <w:rsid w:val="001D6ED2"/>
    <w:rsid w:val="001F0142"/>
    <w:rsid w:val="00200D04"/>
    <w:rsid w:val="00214800"/>
    <w:rsid w:val="00220B77"/>
    <w:rsid w:val="00221006"/>
    <w:rsid w:val="00236CD1"/>
    <w:rsid w:val="0025027D"/>
    <w:rsid w:val="0025077C"/>
    <w:rsid w:val="002522AA"/>
    <w:rsid w:val="00254AA8"/>
    <w:rsid w:val="00264F27"/>
    <w:rsid w:val="00276A53"/>
    <w:rsid w:val="00276CA0"/>
    <w:rsid w:val="00291F77"/>
    <w:rsid w:val="0029267B"/>
    <w:rsid w:val="002B3841"/>
    <w:rsid w:val="002C0115"/>
    <w:rsid w:val="002C62A9"/>
    <w:rsid w:val="002F349C"/>
    <w:rsid w:val="002F7796"/>
    <w:rsid w:val="00310600"/>
    <w:rsid w:val="003205C6"/>
    <w:rsid w:val="00320DC6"/>
    <w:rsid w:val="00357FBF"/>
    <w:rsid w:val="00363A78"/>
    <w:rsid w:val="003654A6"/>
    <w:rsid w:val="00372C17"/>
    <w:rsid w:val="0038182C"/>
    <w:rsid w:val="00386BE7"/>
    <w:rsid w:val="00386F03"/>
    <w:rsid w:val="003A114F"/>
    <w:rsid w:val="003A5DC9"/>
    <w:rsid w:val="003B068F"/>
    <w:rsid w:val="003C49AC"/>
    <w:rsid w:val="003C77B0"/>
    <w:rsid w:val="003D56C2"/>
    <w:rsid w:val="003E51D2"/>
    <w:rsid w:val="003F2C18"/>
    <w:rsid w:val="003F3FB5"/>
    <w:rsid w:val="004018E9"/>
    <w:rsid w:val="004130FA"/>
    <w:rsid w:val="004236C7"/>
    <w:rsid w:val="004311D1"/>
    <w:rsid w:val="004401AB"/>
    <w:rsid w:val="00444B68"/>
    <w:rsid w:val="00445608"/>
    <w:rsid w:val="00455FCB"/>
    <w:rsid w:val="004D6D1B"/>
    <w:rsid w:val="004E3E85"/>
    <w:rsid w:val="005024C9"/>
    <w:rsid w:val="00504316"/>
    <w:rsid w:val="00513695"/>
    <w:rsid w:val="00516805"/>
    <w:rsid w:val="00517FB9"/>
    <w:rsid w:val="005262CE"/>
    <w:rsid w:val="005432FE"/>
    <w:rsid w:val="00566010"/>
    <w:rsid w:val="00572988"/>
    <w:rsid w:val="00573ABE"/>
    <w:rsid w:val="00573D98"/>
    <w:rsid w:val="005744EA"/>
    <w:rsid w:val="00586DC8"/>
    <w:rsid w:val="005A6EC2"/>
    <w:rsid w:val="005D27F4"/>
    <w:rsid w:val="00613B10"/>
    <w:rsid w:val="00620F6B"/>
    <w:rsid w:val="0063324A"/>
    <w:rsid w:val="00633451"/>
    <w:rsid w:val="00654B06"/>
    <w:rsid w:val="00662156"/>
    <w:rsid w:val="006631BF"/>
    <w:rsid w:val="00667C6B"/>
    <w:rsid w:val="0069769D"/>
    <w:rsid w:val="006C36BA"/>
    <w:rsid w:val="006C5A8B"/>
    <w:rsid w:val="006C71DE"/>
    <w:rsid w:val="006E2DFD"/>
    <w:rsid w:val="006E54B8"/>
    <w:rsid w:val="006E6C6E"/>
    <w:rsid w:val="006F6DAD"/>
    <w:rsid w:val="00714339"/>
    <w:rsid w:val="00714393"/>
    <w:rsid w:val="0072318A"/>
    <w:rsid w:val="00724A24"/>
    <w:rsid w:val="00735ABF"/>
    <w:rsid w:val="00753C68"/>
    <w:rsid w:val="00760934"/>
    <w:rsid w:val="007A5A23"/>
    <w:rsid w:val="007B7C82"/>
    <w:rsid w:val="007D1CC3"/>
    <w:rsid w:val="007D763D"/>
    <w:rsid w:val="008039F7"/>
    <w:rsid w:val="00821BC8"/>
    <w:rsid w:val="00822A49"/>
    <w:rsid w:val="008649F5"/>
    <w:rsid w:val="00864E5C"/>
    <w:rsid w:val="00867968"/>
    <w:rsid w:val="008E387F"/>
    <w:rsid w:val="008F0F13"/>
    <w:rsid w:val="00903E4F"/>
    <w:rsid w:val="00904EA5"/>
    <w:rsid w:val="00911677"/>
    <w:rsid w:val="00915A0E"/>
    <w:rsid w:val="00926023"/>
    <w:rsid w:val="009271F9"/>
    <w:rsid w:val="00945ADF"/>
    <w:rsid w:val="00971304"/>
    <w:rsid w:val="00980C4A"/>
    <w:rsid w:val="009A4602"/>
    <w:rsid w:val="009A5E62"/>
    <w:rsid w:val="009B068A"/>
    <w:rsid w:val="009B439A"/>
    <w:rsid w:val="009C4774"/>
    <w:rsid w:val="009C5EC2"/>
    <w:rsid w:val="009D1A88"/>
    <w:rsid w:val="009F1337"/>
    <w:rsid w:val="00A159EE"/>
    <w:rsid w:val="00A20433"/>
    <w:rsid w:val="00A358B2"/>
    <w:rsid w:val="00A475F4"/>
    <w:rsid w:val="00A50563"/>
    <w:rsid w:val="00A835C0"/>
    <w:rsid w:val="00A87347"/>
    <w:rsid w:val="00AA5969"/>
    <w:rsid w:val="00AC31C0"/>
    <w:rsid w:val="00AC3865"/>
    <w:rsid w:val="00AD0471"/>
    <w:rsid w:val="00AD0D77"/>
    <w:rsid w:val="00AD5591"/>
    <w:rsid w:val="00AD69D6"/>
    <w:rsid w:val="00B03B1C"/>
    <w:rsid w:val="00B36442"/>
    <w:rsid w:val="00B56D3F"/>
    <w:rsid w:val="00B6122D"/>
    <w:rsid w:val="00B8792B"/>
    <w:rsid w:val="00B90C7E"/>
    <w:rsid w:val="00BB57AA"/>
    <w:rsid w:val="00BB791F"/>
    <w:rsid w:val="00BC27D6"/>
    <w:rsid w:val="00BC2D96"/>
    <w:rsid w:val="00BD0AFE"/>
    <w:rsid w:val="00BE61FC"/>
    <w:rsid w:val="00BF068C"/>
    <w:rsid w:val="00BF1889"/>
    <w:rsid w:val="00C12FEB"/>
    <w:rsid w:val="00C257B0"/>
    <w:rsid w:val="00C32056"/>
    <w:rsid w:val="00C32518"/>
    <w:rsid w:val="00C459F2"/>
    <w:rsid w:val="00C63B06"/>
    <w:rsid w:val="00C6678D"/>
    <w:rsid w:val="00C921F5"/>
    <w:rsid w:val="00CB2259"/>
    <w:rsid w:val="00CB5C56"/>
    <w:rsid w:val="00CB6393"/>
    <w:rsid w:val="00CC2DB2"/>
    <w:rsid w:val="00CD307F"/>
    <w:rsid w:val="00CD456E"/>
    <w:rsid w:val="00CE1698"/>
    <w:rsid w:val="00CF4344"/>
    <w:rsid w:val="00D00547"/>
    <w:rsid w:val="00D204A7"/>
    <w:rsid w:val="00D265E9"/>
    <w:rsid w:val="00D317A6"/>
    <w:rsid w:val="00D62609"/>
    <w:rsid w:val="00D7346E"/>
    <w:rsid w:val="00DA3911"/>
    <w:rsid w:val="00DB1B5B"/>
    <w:rsid w:val="00DB307A"/>
    <w:rsid w:val="00DD294B"/>
    <w:rsid w:val="00DD5E75"/>
    <w:rsid w:val="00DE4B36"/>
    <w:rsid w:val="00DE5DC5"/>
    <w:rsid w:val="00E242C4"/>
    <w:rsid w:val="00E2693C"/>
    <w:rsid w:val="00E27AA3"/>
    <w:rsid w:val="00E36439"/>
    <w:rsid w:val="00E40E6E"/>
    <w:rsid w:val="00E42FE9"/>
    <w:rsid w:val="00E44C37"/>
    <w:rsid w:val="00E4510D"/>
    <w:rsid w:val="00E518E7"/>
    <w:rsid w:val="00E77342"/>
    <w:rsid w:val="00E94B18"/>
    <w:rsid w:val="00EB71E5"/>
    <w:rsid w:val="00EC6F01"/>
    <w:rsid w:val="00ED570F"/>
    <w:rsid w:val="00F00631"/>
    <w:rsid w:val="00F22505"/>
    <w:rsid w:val="00F4193C"/>
    <w:rsid w:val="00F47C37"/>
    <w:rsid w:val="00F61EB5"/>
    <w:rsid w:val="00F70F19"/>
    <w:rsid w:val="00F80DCB"/>
    <w:rsid w:val="00FA1328"/>
    <w:rsid w:val="00FE1D8F"/>
    <w:rsid w:val="00FE4021"/>
    <w:rsid w:val="00FE6141"/>
    <w:rsid w:val="00FF5E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hapeDefaults>
    <o:shapedefaults v:ext="edit" spidmax="1024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ListParagraph"/>
    <w:next w:val="Normal"/>
    <w:link w:val="Heading1Char"/>
    <w:qFormat/>
    <w:rsid w:val="00005023"/>
    <w:pPr>
      <w:numPr>
        <w:numId w:val="2"/>
      </w:numPr>
      <w:tabs>
        <w:tab w:val="left" w:pos="1440"/>
      </w:tabs>
      <w:spacing w:line="480" w:lineRule="auto"/>
      <w:ind w:left="0" w:firstLine="0"/>
      <w:outlineLvl w:val="0"/>
    </w:pPr>
    <w:rPr>
      <w:rFonts w:cs="Arial"/>
      <w:b/>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ocXref">
    <w:name w:val="DocXref"/>
    <w:rsid w:val="00CF4344"/>
    <w:rPr>
      <w:rFonts w:ascii="Arial" w:hAnsi="Arial" w:cs="Arial"/>
      <w:color w:val="0000FF"/>
    </w:rPr>
  </w:style>
  <w:style w:type="paragraph" w:styleId="Header">
    <w:name w:val="header"/>
    <w:basedOn w:val="Normal"/>
    <w:rsid w:val="00CF4344"/>
    <w:pPr>
      <w:tabs>
        <w:tab w:val="center" w:pos="4320"/>
        <w:tab w:val="right" w:pos="8640"/>
      </w:tabs>
    </w:pPr>
  </w:style>
  <w:style w:type="paragraph" w:styleId="Footer">
    <w:name w:val="footer"/>
    <w:basedOn w:val="Normal"/>
    <w:link w:val="FooterChar"/>
    <w:uiPriority w:val="99"/>
    <w:rsid w:val="00CF4344"/>
    <w:pPr>
      <w:tabs>
        <w:tab w:val="center" w:pos="4320"/>
        <w:tab w:val="right" w:pos="8640"/>
      </w:tabs>
    </w:pPr>
  </w:style>
  <w:style w:type="paragraph" w:styleId="BalloonText">
    <w:name w:val="Balloon Text"/>
    <w:basedOn w:val="Normal"/>
    <w:link w:val="BalloonTextChar"/>
    <w:rsid w:val="00DE4B36"/>
    <w:rPr>
      <w:rFonts w:ascii="Tahoma" w:hAnsi="Tahoma" w:cs="Tahoma"/>
      <w:sz w:val="16"/>
      <w:szCs w:val="16"/>
    </w:rPr>
  </w:style>
  <w:style w:type="character" w:customStyle="1" w:styleId="BalloonTextChar">
    <w:name w:val="Balloon Text Char"/>
    <w:link w:val="BalloonText"/>
    <w:rsid w:val="00DE4B36"/>
    <w:rPr>
      <w:rFonts w:ascii="Tahoma" w:hAnsi="Tahoma" w:cs="Tahoma"/>
      <w:sz w:val="16"/>
      <w:szCs w:val="16"/>
    </w:rPr>
  </w:style>
  <w:style w:type="character" w:customStyle="1" w:styleId="FooterChar">
    <w:name w:val="Footer Char"/>
    <w:link w:val="Footer"/>
    <w:uiPriority w:val="99"/>
    <w:rsid w:val="00052941"/>
    <w:rPr>
      <w:sz w:val="24"/>
      <w:szCs w:val="24"/>
    </w:rPr>
  </w:style>
  <w:style w:type="paragraph" w:styleId="ListParagraph">
    <w:name w:val="List Paragraph"/>
    <w:basedOn w:val="Normal"/>
    <w:uiPriority w:val="34"/>
    <w:qFormat/>
    <w:rsid w:val="00FE1D8F"/>
    <w:pPr>
      <w:ind w:left="720"/>
      <w:contextualSpacing/>
    </w:pPr>
    <w:rPr>
      <w:rFonts w:ascii="Arial" w:eastAsia="Calibri" w:hAnsi="Arial"/>
      <w:szCs w:val="22"/>
    </w:rPr>
  </w:style>
  <w:style w:type="paragraph" w:styleId="FootnoteText">
    <w:name w:val="footnote text"/>
    <w:basedOn w:val="Normal"/>
    <w:link w:val="FootnoteTextChar"/>
    <w:uiPriority w:val="99"/>
    <w:unhideWhenUsed/>
    <w:rsid w:val="00FE1D8F"/>
    <w:rPr>
      <w:rFonts w:ascii="Arial" w:eastAsia="Calibri" w:hAnsi="Arial"/>
      <w:sz w:val="20"/>
      <w:szCs w:val="20"/>
    </w:rPr>
  </w:style>
  <w:style w:type="character" w:customStyle="1" w:styleId="FootnoteTextChar">
    <w:name w:val="Footnote Text Char"/>
    <w:basedOn w:val="DefaultParagraphFont"/>
    <w:link w:val="FootnoteText"/>
    <w:uiPriority w:val="99"/>
    <w:rsid w:val="00FE1D8F"/>
    <w:rPr>
      <w:rFonts w:ascii="Arial" w:eastAsia="Calibri" w:hAnsi="Arial"/>
    </w:rPr>
  </w:style>
  <w:style w:type="character" w:styleId="FootnoteReference">
    <w:name w:val="footnote reference"/>
    <w:uiPriority w:val="99"/>
    <w:unhideWhenUsed/>
    <w:rsid w:val="00FE1D8F"/>
    <w:rPr>
      <w:vertAlign w:val="superscript"/>
    </w:rPr>
  </w:style>
  <w:style w:type="character" w:customStyle="1" w:styleId="Heading1Char">
    <w:name w:val="Heading 1 Char"/>
    <w:basedOn w:val="DefaultParagraphFont"/>
    <w:link w:val="Heading1"/>
    <w:rsid w:val="00005023"/>
    <w:rPr>
      <w:rFonts w:ascii="Arial" w:eastAsia="Calibri" w:hAnsi="Arial" w:cs="Arial"/>
      <w:b/>
      <w:sz w:val="24"/>
      <w:szCs w:val="22"/>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83711">
      <w:bodyDiv w:val="1"/>
      <w:marLeft w:val="0"/>
      <w:marRight w:val="0"/>
      <w:marTop w:val="0"/>
      <w:marBottom w:val="0"/>
      <w:divBdr>
        <w:top w:val="none" w:sz="0" w:space="0" w:color="auto"/>
        <w:left w:val="none" w:sz="0" w:space="0" w:color="auto"/>
        <w:bottom w:val="none" w:sz="0" w:space="0" w:color="auto"/>
        <w:right w:val="none" w:sz="0" w:space="0" w:color="auto"/>
      </w:divBdr>
    </w:div>
    <w:div w:id="22534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77CD-7120-417A-BBEF-FA8564356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1988</Words>
  <Characters>9505</Characters>
  <Application>Microsoft Office Word</Application>
  <DocSecurity>0</DocSecurity>
  <Lines>211</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2014-09-30T13:53:00Z</dcterms:created>
  <dcterms:modified xsi:type="dcterms:W3CDTF">2014-10-14T13:43:00Z</dcterms:modified>
</cp:coreProperties>
</file>